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157480</wp:posOffset>
            </wp:positionH>
            <wp:positionV relativeFrom="page">
              <wp:posOffset>226060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260350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FORM 6-K</w:t>
      </w:r>
    </w:p>
    <w:p>
      <w:pPr>
        <w:spacing w:after="0" w:line="22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Short Form of Press Release</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70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387350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675"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October 18, 2019</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p>
      <w:pPr>
        <w:ind w:left="6860"/>
        <w:spacing w:after="0"/>
        <w:rPr>
          <w:sz w:val="20"/>
          <w:szCs w:val="20"/>
          <w:color w:val="auto"/>
        </w:rPr>
      </w:pPr>
      <w:r>
        <w:rPr>
          <w:rFonts w:ascii="Arial" w:cs="Arial" w:eastAsia="Arial" w:hAnsi="Arial"/>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4575810</wp:posOffset>
            </wp:positionH>
            <wp:positionV relativeFrom="paragraph">
              <wp:posOffset>23495</wp:posOffset>
            </wp:positionV>
            <wp:extent cx="267589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675890" cy="8890"/>
                    </a:xfrm>
                    <a:prstGeom prst="rect">
                      <a:avLst/>
                    </a:prstGeom>
                    <a:noFill/>
                  </pic:spPr>
                </pic:pic>
              </a:graphicData>
            </a:graphic>
          </wp:anchor>
        </w:drawing>
      </w:r>
    </w:p>
    <w:p>
      <w:pPr>
        <w:spacing w:after="0" w:line="219" w:lineRule="exact"/>
        <w:rPr>
          <w:sz w:val="20"/>
          <w:szCs w:val="20"/>
          <w:color w:val="auto"/>
        </w:rPr>
      </w:pPr>
    </w:p>
    <w:p>
      <w:pPr>
        <w:ind w:left="686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686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280035</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157480</wp:posOffset>
            </wp:positionH>
            <wp:positionV relativeFrom="page">
              <wp:posOffset>586105</wp:posOffset>
            </wp:positionV>
            <wp:extent cx="7289165" cy="13722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289165" cy="13722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ANNOUNCES PROFIT FOR THE THIRD QUARTER 2019 OF $20.4 MILLION, OR $0.52 PER SHARE;</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YEAR TO DATE PROFIT OF $64.0 MILLION, OR $1.62 PER SHARE</w:t>
      </w:r>
    </w:p>
    <w:p>
      <w:pPr>
        <w:spacing w:after="0" w:line="20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October 18, 2019</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 by</w:t>
      </w:r>
      <w:r>
        <w:rPr>
          <w:rFonts w:ascii="Arial" w:cs="Arial" w:eastAsia="Arial" w:hAnsi="Arial"/>
          <w:sz w:val="18"/>
          <w:szCs w:val="18"/>
          <w:b w:val="1"/>
          <w:bCs w:val="1"/>
          <w:color w:val="auto"/>
        </w:rPr>
        <w:t xml:space="preserve"> </w:t>
      </w:r>
      <w:r>
        <w:rPr>
          <w:rFonts w:ascii="Arial" w:cs="Arial" w:eastAsia="Arial" w:hAnsi="Arial"/>
          <w:sz w:val="18"/>
          <w:szCs w:val="18"/>
          <w:color w:val="auto"/>
        </w:rPr>
        <w:t>the central banks of 23 Latin-American and Caribbean countries to promote foreign trade and economic integration in the region, today announced its results for the third quarter (“3Q19”) and nine months (“9M19”) ended September 30, 2019.</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040" w:type="dxa"/>
            <w:vAlign w:val="bottom"/>
            <w:gridSpan w:val="2"/>
          </w:tcPr>
          <w:p>
            <w:pPr>
              <w:spacing w:after="0"/>
              <w:rPr>
                <w:sz w:val="20"/>
                <w:szCs w:val="20"/>
                <w:color w:val="auto"/>
              </w:rPr>
            </w:pPr>
            <w:r>
              <w:rPr>
                <w:rFonts w:ascii="Arial" w:cs="Arial" w:eastAsia="Arial" w:hAnsi="Arial"/>
                <w:sz w:val="18"/>
                <w:szCs w:val="18"/>
                <w:b w:val="1"/>
                <w:bCs w:val="1"/>
                <w:color w:val="auto"/>
              </w:rPr>
              <w:t>FINANCIAL SNAPSHOT</w:t>
            </w:r>
          </w:p>
        </w:tc>
        <w:tc>
          <w:tcPr>
            <w:tcW w:w="26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5"/>
        </w:trPr>
        <w:tc>
          <w:tcPr>
            <w:tcW w:w="4040" w:type="dxa"/>
            <w:vAlign w:val="bottom"/>
            <w:gridSpan w:val="2"/>
          </w:tcPr>
          <w:p>
            <w:pPr>
              <w:spacing w:after="0"/>
              <w:rPr>
                <w:sz w:val="20"/>
                <w:szCs w:val="20"/>
                <w:color w:val="auto"/>
              </w:rPr>
            </w:pPr>
            <w:r>
              <w:rPr>
                <w:rFonts w:ascii="Arial" w:cs="Arial" w:eastAsia="Arial" w:hAnsi="Arial"/>
                <w:sz w:val="18"/>
                <w:szCs w:val="18"/>
                <w:color w:val="auto"/>
              </w:rPr>
              <w:t>(US$ million, except percentages and</w:t>
            </w:r>
          </w:p>
        </w:tc>
        <w:tc>
          <w:tcPr>
            <w:tcW w:w="260" w:type="dxa"/>
            <w:vAlign w:val="bottom"/>
          </w:tcPr>
          <w:p>
            <w:pPr>
              <w:spacing w:after="0"/>
              <w:rPr>
                <w:sz w:val="24"/>
                <w:szCs w:val="24"/>
                <w:color w:val="auto"/>
              </w:rPr>
            </w:pPr>
          </w:p>
        </w:tc>
        <w:tc>
          <w:tcPr>
            <w:tcW w:w="1180" w:type="dxa"/>
            <w:vAlign w:val="bottom"/>
            <w:gridSpan w:val="2"/>
            <w:vMerge w:val="restart"/>
          </w:tcPr>
          <w:p>
            <w:pPr>
              <w:jc w:val="right"/>
              <w:ind w:right="560"/>
              <w:spacing w:after="0"/>
              <w:rPr>
                <w:sz w:val="20"/>
                <w:szCs w:val="20"/>
                <w:color w:val="auto"/>
              </w:rPr>
            </w:pPr>
            <w:r>
              <w:rPr>
                <w:rFonts w:ascii="Arial" w:cs="Arial" w:eastAsia="Arial" w:hAnsi="Arial"/>
                <w:sz w:val="18"/>
                <w:szCs w:val="18"/>
                <w:b w:val="1"/>
                <w:bCs w:val="1"/>
                <w:color w:val="auto"/>
              </w:rPr>
              <w:t>9M19</w:t>
            </w:r>
          </w:p>
        </w:tc>
        <w:tc>
          <w:tcPr>
            <w:tcW w:w="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240" w:type="dxa"/>
            <w:vAlign w:val="bottom"/>
            <w:gridSpan w:val="2"/>
            <w:vMerge w:val="restart"/>
          </w:tcPr>
          <w:p>
            <w:pPr>
              <w:jc w:val="right"/>
              <w:ind w:right="620"/>
              <w:spacing w:after="0"/>
              <w:rPr>
                <w:sz w:val="20"/>
                <w:szCs w:val="20"/>
                <w:color w:val="auto"/>
              </w:rPr>
            </w:pPr>
            <w:r>
              <w:rPr>
                <w:rFonts w:ascii="Arial" w:cs="Arial" w:eastAsia="Arial" w:hAnsi="Arial"/>
                <w:sz w:val="18"/>
                <w:szCs w:val="18"/>
                <w:b w:val="1"/>
                <w:bCs w:val="1"/>
                <w:color w:val="auto"/>
              </w:rPr>
              <w:t>9M18</w:t>
            </w:r>
          </w:p>
        </w:tc>
        <w:tc>
          <w:tcPr>
            <w:tcW w:w="260" w:type="dxa"/>
            <w:vAlign w:val="bottom"/>
          </w:tcPr>
          <w:p>
            <w:pPr>
              <w:spacing w:after="0"/>
              <w:rPr>
                <w:sz w:val="24"/>
                <w:szCs w:val="24"/>
                <w:color w:val="auto"/>
              </w:rPr>
            </w:pPr>
          </w:p>
        </w:tc>
        <w:tc>
          <w:tcPr>
            <w:tcW w:w="1160" w:type="dxa"/>
            <w:vAlign w:val="bottom"/>
            <w:gridSpan w:val="2"/>
            <w:vMerge w:val="restart"/>
          </w:tcPr>
          <w:p>
            <w:pPr>
              <w:jc w:val="right"/>
              <w:ind w:right="560"/>
              <w:spacing w:after="0"/>
              <w:rPr>
                <w:sz w:val="20"/>
                <w:szCs w:val="20"/>
                <w:color w:val="auto"/>
              </w:rPr>
            </w:pPr>
            <w:r>
              <w:rPr>
                <w:rFonts w:ascii="Arial" w:cs="Arial" w:eastAsia="Arial" w:hAnsi="Arial"/>
                <w:sz w:val="18"/>
                <w:szCs w:val="18"/>
                <w:b w:val="1"/>
                <w:bCs w:val="1"/>
                <w:color w:val="auto"/>
              </w:rPr>
              <w:t>3Q19</w:t>
            </w: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220" w:type="dxa"/>
            <w:vAlign w:val="bottom"/>
            <w:gridSpan w:val="2"/>
            <w:vMerge w:val="restart"/>
          </w:tcPr>
          <w:p>
            <w:pPr>
              <w:jc w:val="right"/>
              <w:ind w:right="620"/>
              <w:spacing w:after="0"/>
              <w:rPr>
                <w:sz w:val="20"/>
                <w:szCs w:val="20"/>
                <w:color w:val="auto"/>
              </w:rPr>
            </w:pPr>
            <w:r>
              <w:rPr>
                <w:rFonts w:ascii="Arial" w:cs="Arial" w:eastAsia="Arial" w:hAnsi="Arial"/>
                <w:sz w:val="18"/>
                <w:szCs w:val="18"/>
                <w:b w:val="1"/>
                <w:bCs w:val="1"/>
                <w:color w:val="auto"/>
              </w:rPr>
              <w:t>2Q19</w:t>
            </w:r>
          </w:p>
        </w:tc>
        <w:tc>
          <w:tcPr>
            <w:tcW w:w="280" w:type="dxa"/>
            <w:vAlign w:val="bottom"/>
          </w:tcPr>
          <w:p>
            <w:pPr>
              <w:spacing w:after="0"/>
              <w:rPr>
                <w:sz w:val="24"/>
                <w:szCs w:val="24"/>
                <w:color w:val="auto"/>
              </w:rPr>
            </w:pPr>
          </w:p>
        </w:tc>
        <w:tc>
          <w:tcPr>
            <w:tcW w:w="1120" w:type="dxa"/>
            <w:vAlign w:val="bottom"/>
            <w:gridSpan w:val="2"/>
            <w:vMerge w:val="restart"/>
          </w:tcPr>
          <w:p>
            <w:pPr>
              <w:jc w:val="right"/>
              <w:ind w:right="520"/>
              <w:spacing w:after="0"/>
              <w:rPr>
                <w:sz w:val="20"/>
                <w:szCs w:val="20"/>
                <w:color w:val="auto"/>
              </w:rPr>
            </w:pPr>
            <w:r>
              <w:rPr>
                <w:rFonts w:ascii="Arial" w:cs="Arial" w:eastAsia="Arial" w:hAnsi="Arial"/>
                <w:sz w:val="18"/>
                <w:szCs w:val="18"/>
                <w:b w:val="1"/>
                <w:bCs w:val="1"/>
                <w:color w:val="auto"/>
              </w:rPr>
              <w:t>3Q18</w:t>
            </w:r>
          </w:p>
        </w:tc>
        <w:tc>
          <w:tcPr>
            <w:tcW w:w="0" w:type="dxa"/>
            <w:vAlign w:val="bottom"/>
          </w:tcPr>
          <w:p>
            <w:pPr>
              <w:spacing w:after="0"/>
              <w:rPr>
                <w:sz w:val="1"/>
                <w:szCs w:val="1"/>
                <w:color w:val="auto"/>
              </w:rPr>
            </w:pPr>
          </w:p>
        </w:tc>
      </w:tr>
      <w:tr>
        <w:trPr>
          <w:trHeight w:val="230"/>
        </w:trPr>
        <w:tc>
          <w:tcPr>
            <w:tcW w:w="4040" w:type="dxa"/>
            <w:vAlign w:val="bottom"/>
            <w:gridSpan w:val="2"/>
          </w:tcPr>
          <w:p>
            <w:pPr>
              <w:spacing w:after="0"/>
              <w:rPr>
                <w:sz w:val="20"/>
                <w:szCs w:val="20"/>
                <w:color w:val="auto"/>
              </w:rPr>
            </w:pPr>
            <w:r>
              <w:rPr>
                <w:rFonts w:ascii="Arial" w:cs="Arial" w:eastAsia="Arial" w:hAnsi="Arial"/>
                <w:sz w:val="18"/>
                <w:szCs w:val="18"/>
                <w:color w:val="auto"/>
              </w:rPr>
              <w:t>per share amounts)</w:t>
            </w:r>
          </w:p>
        </w:tc>
        <w:tc>
          <w:tcPr>
            <w:tcW w:w="260" w:type="dxa"/>
            <w:vAlign w:val="bottom"/>
          </w:tcPr>
          <w:p>
            <w:pPr>
              <w:spacing w:after="0"/>
              <w:rPr>
                <w:sz w:val="20"/>
                <w:szCs w:val="20"/>
                <w:color w:val="auto"/>
              </w:rPr>
            </w:pPr>
          </w:p>
        </w:tc>
        <w:tc>
          <w:tcPr>
            <w:tcW w:w="1180" w:type="dxa"/>
            <w:vAlign w:val="bottom"/>
            <w:gridSpan w:val="2"/>
            <w:vMerge w:val="continue"/>
          </w:tcPr>
          <w:p>
            <w:pPr>
              <w:spacing w:after="0"/>
              <w:rPr>
                <w:sz w:val="20"/>
                <w:szCs w:val="20"/>
                <w:color w:val="auto"/>
              </w:rPr>
            </w:pPr>
          </w:p>
        </w:tc>
        <w:tc>
          <w:tcPr>
            <w:tcW w:w="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40" w:type="dxa"/>
            <w:vAlign w:val="bottom"/>
            <w:gridSpan w:val="2"/>
            <w:vMerge w:val="continue"/>
          </w:tcPr>
          <w:p>
            <w:pPr>
              <w:spacing w:after="0"/>
              <w:rPr>
                <w:sz w:val="20"/>
                <w:szCs w:val="20"/>
                <w:color w:val="auto"/>
              </w:rPr>
            </w:pPr>
          </w:p>
        </w:tc>
        <w:tc>
          <w:tcPr>
            <w:tcW w:w="260" w:type="dxa"/>
            <w:vAlign w:val="bottom"/>
          </w:tcPr>
          <w:p>
            <w:pPr>
              <w:spacing w:after="0"/>
              <w:rPr>
                <w:sz w:val="20"/>
                <w:szCs w:val="20"/>
                <w:color w:val="auto"/>
              </w:rPr>
            </w:pPr>
          </w:p>
        </w:tc>
        <w:tc>
          <w:tcPr>
            <w:tcW w:w="1160" w:type="dxa"/>
            <w:vAlign w:val="bottom"/>
            <w:gridSpan w:val="2"/>
            <w:vMerge w:val="continue"/>
          </w:tcPr>
          <w:p>
            <w:pPr>
              <w:spacing w:after="0"/>
              <w:rPr>
                <w:sz w:val="20"/>
                <w:szCs w:val="20"/>
                <w:color w:val="auto"/>
              </w:rPr>
            </w:pPr>
          </w:p>
        </w:tc>
        <w:tc>
          <w:tcPr>
            <w:tcW w:w="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220" w:type="dxa"/>
            <w:vAlign w:val="bottom"/>
            <w:gridSpan w:val="2"/>
            <w:vMerge w:val="continue"/>
          </w:tcPr>
          <w:p>
            <w:pPr>
              <w:spacing w:after="0"/>
              <w:rPr>
                <w:sz w:val="20"/>
                <w:szCs w:val="20"/>
                <w:color w:val="auto"/>
              </w:rPr>
            </w:pPr>
          </w:p>
        </w:tc>
        <w:tc>
          <w:tcPr>
            <w:tcW w:w="280" w:type="dxa"/>
            <w:vAlign w:val="bottom"/>
          </w:tcPr>
          <w:p>
            <w:pPr>
              <w:spacing w:after="0"/>
              <w:rPr>
                <w:sz w:val="20"/>
                <w:szCs w:val="20"/>
                <w:color w:val="auto"/>
              </w:rPr>
            </w:pPr>
          </w:p>
        </w:tc>
        <w:tc>
          <w:tcPr>
            <w:tcW w:w="112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9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1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40" w:type="dxa"/>
            <w:vAlign w:val="bottom"/>
            <w:gridSpan w:val="2"/>
          </w:tcPr>
          <w:p>
            <w:pPr>
              <w:spacing w:after="0"/>
              <w:rPr>
                <w:sz w:val="20"/>
                <w:szCs w:val="20"/>
                <w:color w:val="auto"/>
              </w:rPr>
            </w:pPr>
            <w:r>
              <w:rPr>
                <w:rFonts w:ascii="Arial" w:cs="Arial" w:eastAsia="Arial" w:hAnsi="Arial"/>
                <w:sz w:val="18"/>
                <w:szCs w:val="18"/>
                <w:color w:val="auto"/>
              </w:rPr>
              <w:t>Net Interest Income ("NII")</w:t>
            </w:r>
          </w:p>
        </w:tc>
        <w:tc>
          <w:tcPr>
            <w:tcW w:w="260" w:type="dxa"/>
            <w:vAlign w:val="bottom"/>
          </w:tcPr>
          <w:p>
            <w:pPr>
              <w:jc w:val="right"/>
              <w:ind w:right="105"/>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82.6</w:t>
            </w:r>
          </w:p>
        </w:tc>
        <w:tc>
          <w:tcPr>
            <w:tcW w:w="3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81.8</w:t>
            </w:r>
          </w:p>
        </w:tc>
        <w:tc>
          <w:tcPr>
            <w:tcW w:w="260" w:type="dxa"/>
            <w:vAlign w:val="bottom"/>
          </w:tcPr>
          <w:p>
            <w:pPr>
              <w:jc w:val="right"/>
              <w:ind w:right="105"/>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26.7</w:t>
            </w:r>
          </w:p>
        </w:tc>
        <w:tc>
          <w:tcPr>
            <w:tcW w:w="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27.9</w:t>
            </w:r>
          </w:p>
        </w:tc>
        <w:tc>
          <w:tcPr>
            <w:tcW w:w="280" w:type="dxa"/>
            <w:vAlign w:val="bottom"/>
          </w:tcPr>
          <w:p>
            <w:pPr>
              <w:jc w:val="right"/>
              <w:ind w:right="90"/>
              <w:spacing w:after="0"/>
              <w:rPr>
                <w:sz w:val="20"/>
                <w:szCs w:val="20"/>
                <w:color w:val="auto"/>
              </w:rPr>
            </w:pPr>
            <w:r>
              <w:rPr>
                <w:rFonts w:ascii="Arial" w:cs="Arial" w:eastAsia="Arial" w:hAnsi="Arial"/>
                <w:sz w:val="18"/>
                <w:szCs w:val="18"/>
                <w:color w:val="auto"/>
                <w:w w:val="79"/>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27.3</w:t>
            </w:r>
          </w:p>
        </w:tc>
        <w:tc>
          <w:tcPr>
            <w:tcW w:w="0" w:type="dxa"/>
            <w:vAlign w:val="bottom"/>
          </w:tcPr>
          <w:p>
            <w:pPr>
              <w:spacing w:after="0"/>
              <w:rPr>
                <w:sz w:val="1"/>
                <w:szCs w:val="1"/>
                <w:color w:val="auto"/>
              </w:rPr>
            </w:pPr>
          </w:p>
        </w:tc>
      </w:tr>
      <w:tr>
        <w:trPr>
          <w:trHeight w:val="216"/>
        </w:trPr>
        <w:tc>
          <w:tcPr>
            <w:tcW w:w="4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260" w:type="dxa"/>
            <w:vAlign w:val="bottom"/>
            <w:shd w:val="clear" w:color="auto" w:fill="CCEEFF"/>
          </w:tcPr>
          <w:p>
            <w:pPr>
              <w:jc w:val="right"/>
              <w:ind w:right="105"/>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10.3</w:t>
            </w:r>
          </w:p>
        </w:tc>
        <w:tc>
          <w:tcPr>
            <w:tcW w:w="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11.8</w:t>
            </w: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jc w:val="right"/>
              <w:ind w:right="105"/>
              <w:spacing w:after="0"/>
              <w:rPr>
                <w:sz w:val="20"/>
                <w:szCs w:val="20"/>
                <w:color w:val="auto"/>
              </w:rPr>
            </w:pPr>
            <w:r>
              <w:rPr>
                <w:rFonts w:ascii="Arial" w:cs="Arial" w:eastAsia="Arial" w:hAnsi="Arial"/>
                <w:sz w:val="15"/>
                <w:szCs w:val="15"/>
                <w:color w:val="auto"/>
                <w:w w:val="71"/>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w:t>
            </w:r>
          </w:p>
        </w:tc>
        <w:tc>
          <w:tcPr>
            <w:tcW w:w="260" w:type="dxa"/>
            <w:vAlign w:val="bottom"/>
            <w:shd w:val="clear" w:color="auto" w:fill="CCEEFF"/>
          </w:tcPr>
          <w:p>
            <w:pPr>
              <w:spacing w:after="0"/>
              <w:rPr>
                <w:sz w:val="18"/>
                <w:szCs w:val="18"/>
                <w:color w:val="auto"/>
              </w:rPr>
            </w:pPr>
          </w:p>
        </w:tc>
        <w:tc>
          <w:tcPr>
            <w:tcW w:w="28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w w:val="79"/>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3.7</w:t>
            </w:r>
          </w:p>
        </w:tc>
        <w:tc>
          <w:tcPr>
            <w:tcW w:w="0" w:type="dxa"/>
            <w:vAlign w:val="bottom"/>
          </w:tcPr>
          <w:p>
            <w:pPr>
              <w:spacing w:after="0"/>
              <w:rPr>
                <w:sz w:val="1"/>
                <w:szCs w:val="1"/>
                <w:color w:val="auto"/>
              </w:rPr>
            </w:pPr>
          </w:p>
        </w:tc>
      </w:tr>
      <w:tr>
        <w:trPr>
          <w:trHeight w:val="216"/>
        </w:trPr>
        <w:tc>
          <w:tcPr>
            <w:tcW w:w="4040" w:type="dxa"/>
            <w:vAlign w:val="bottom"/>
            <w:gridSpan w:val="2"/>
          </w:tcPr>
          <w:p>
            <w:pPr>
              <w:spacing w:after="0"/>
              <w:rPr>
                <w:sz w:val="20"/>
                <w:szCs w:val="20"/>
                <w:color w:val="auto"/>
              </w:rPr>
            </w:pPr>
            <w:r>
              <w:rPr>
                <w:rFonts w:ascii="Arial" w:cs="Arial" w:eastAsia="Arial" w:hAnsi="Arial"/>
                <w:sz w:val="18"/>
                <w:szCs w:val="18"/>
                <w:color w:val="auto"/>
              </w:rPr>
              <w:t>Total revenues</w:t>
            </w:r>
          </w:p>
        </w:tc>
        <w:tc>
          <w:tcPr>
            <w:tcW w:w="260" w:type="dxa"/>
            <w:vAlign w:val="bottom"/>
          </w:tcPr>
          <w:p>
            <w:pPr>
              <w:jc w:val="right"/>
              <w:ind w:right="105"/>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95.2</w:t>
            </w:r>
          </w:p>
        </w:tc>
        <w:tc>
          <w:tcPr>
            <w:tcW w:w="3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93.5</w:t>
            </w:r>
          </w:p>
        </w:tc>
        <w:tc>
          <w:tcPr>
            <w:tcW w:w="260" w:type="dxa"/>
            <w:vAlign w:val="bottom"/>
          </w:tcPr>
          <w:p>
            <w:pPr>
              <w:jc w:val="right"/>
              <w:ind w:right="105"/>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29.5</w:t>
            </w:r>
          </w:p>
        </w:tc>
        <w:tc>
          <w:tcPr>
            <w:tcW w:w="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33.6</w:t>
            </w:r>
          </w:p>
        </w:tc>
        <w:tc>
          <w:tcPr>
            <w:tcW w:w="280" w:type="dxa"/>
            <w:vAlign w:val="bottom"/>
          </w:tcPr>
          <w:p>
            <w:pPr>
              <w:jc w:val="right"/>
              <w:ind w:right="90"/>
              <w:spacing w:after="0"/>
              <w:rPr>
                <w:sz w:val="20"/>
                <w:szCs w:val="20"/>
                <w:color w:val="auto"/>
              </w:rPr>
            </w:pPr>
            <w:r>
              <w:rPr>
                <w:rFonts w:ascii="Arial" w:cs="Arial" w:eastAsia="Arial" w:hAnsi="Arial"/>
                <w:sz w:val="18"/>
                <w:szCs w:val="18"/>
                <w:color w:val="auto"/>
                <w:w w:val="79"/>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30.1</w:t>
            </w:r>
          </w:p>
        </w:tc>
        <w:tc>
          <w:tcPr>
            <w:tcW w:w="0" w:type="dxa"/>
            <w:vAlign w:val="bottom"/>
          </w:tcPr>
          <w:p>
            <w:pPr>
              <w:spacing w:after="0"/>
              <w:rPr>
                <w:sz w:val="1"/>
                <w:szCs w:val="1"/>
                <w:color w:val="auto"/>
              </w:rPr>
            </w:pPr>
          </w:p>
        </w:tc>
      </w:tr>
      <w:tr>
        <w:trPr>
          <w:trHeight w:val="216"/>
        </w:trPr>
        <w:tc>
          <w:tcPr>
            <w:tcW w:w="4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Impairment loss on financial instruments</w:t>
            </w:r>
          </w:p>
        </w:tc>
        <w:tc>
          <w:tcPr>
            <w:tcW w:w="260" w:type="dxa"/>
            <w:vAlign w:val="bottom"/>
            <w:shd w:val="clear" w:color="auto" w:fill="CCEEFF"/>
          </w:tcPr>
          <w:p>
            <w:pPr>
              <w:jc w:val="right"/>
              <w:ind w:right="105"/>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(2.4)</w:t>
            </w:r>
          </w:p>
        </w:tc>
        <w:tc>
          <w:tcPr>
            <w:tcW w:w="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(58.8)</w:t>
            </w:r>
          </w:p>
        </w:tc>
        <w:tc>
          <w:tcPr>
            <w:tcW w:w="260" w:type="dxa"/>
            <w:vAlign w:val="bottom"/>
            <w:shd w:val="clear" w:color="auto" w:fill="CCEEFF"/>
          </w:tcPr>
          <w:p>
            <w:pPr>
              <w:jc w:val="right"/>
              <w:ind w:right="105"/>
              <w:spacing w:after="0"/>
              <w:rPr>
                <w:sz w:val="20"/>
                <w:szCs w:val="20"/>
                <w:color w:val="auto"/>
              </w:rPr>
            </w:pPr>
            <w:r>
              <w:rPr>
                <w:rFonts w:ascii="Arial" w:cs="Arial" w:eastAsia="Arial" w:hAnsi="Arial"/>
                <w:sz w:val="15"/>
                <w:szCs w:val="15"/>
                <w:color w:val="auto"/>
                <w:w w:val="71"/>
              </w:rPr>
              <w:t>$</w:t>
            </w: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(0.6)</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(0.8)</w:t>
            </w:r>
          </w:p>
        </w:tc>
        <w:tc>
          <w:tcPr>
            <w:tcW w:w="28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w w:val="79"/>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(55.1)</w:t>
            </w:r>
          </w:p>
        </w:tc>
        <w:tc>
          <w:tcPr>
            <w:tcW w:w="0" w:type="dxa"/>
            <w:vAlign w:val="bottom"/>
          </w:tcPr>
          <w:p>
            <w:pPr>
              <w:spacing w:after="0"/>
              <w:rPr>
                <w:sz w:val="1"/>
                <w:szCs w:val="1"/>
                <w:color w:val="auto"/>
              </w:rPr>
            </w:pPr>
          </w:p>
        </w:tc>
      </w:tr>
      <w:tr>
        <w:trPr>
          <w:trHeight w:val="216"/>
        </w:trPr>
        <w:tc>
          <w:tcPr>
            <w:tcW w:w="4040" w:type="dxa"/>
            <w:vAlign w:val="bottom"/>
            <w:gridSpan w:val="2"/>
          </w:tcPr>
          <w:p>
            <w:pPr>
              <w:spacing w:after="0"/>
              <w:rPr>
                <w:sz w:val="20"/>
                <w:szCs w:val="20"/>
                <w:color w:val="auto"/>
              </w:rPr>
            </w:pPr>
            <w:r>
              <w:rPr>
                <w:rFonts w:ascii="Arial" w:cs="Arial" w:eastAsia="Arial" w:hAnsi="Arial"/>
                <w:sz w:val="18"/>
                <w:szCs w:val="18"/>
                <w:color w:val="auto"/>
              </w:rPr>
              <w:t>Gain (impairment loss) on non-financial assets</w:t>
            </w:r>
          </w:p>
        </w:tc>
        <w:tc>
          <w:tcPr>
            <w:tcW w:w="260" w:type="dxa"/>
            <w:vAlign w:val="bottom"/>
          </w:tcPr>
          <w:p>
            <w:pPr>
              <w:jc w:val="right"/>
              <w:ind w:right="105"/>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0.5</w:t>
            </w:r>
          </w:p>
        </w:tc>
        <w:tc>
          <w:tcPr>
            <w:tcW w:w="3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(7.7)</w:t>
            </w:r>
          </w:p>
        </w:tc>
        <w:tc>
          <w:tcPr>
            <w:tcW w:w="260" w:type="dxa"/>
            <w:vAlign w:val="bottom"/>
          </w:tcPr>
          <w:p>
            <w:pPr>
              <w:jc w:val="right"/>
              <w:ind w:right="105"/>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0.5</w:t>
            </w:r>
          </w:p>
        </w:tc>
        <w:tc>
          <w:tcPr>
            <w:tcW w:w="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0.0</w:t>
            </w:r>
          </w:p>
        </w:tc>
        <w:tc>
          <w:tcPr>
            <w:tcW w:w="260" w:type="dxa"/>
            <w:vAlign w:val="bottom"/>
          </w:tcPr>
          <w:p>
            <w:pPr>
              <w:spacing w:after="0"/>
              <w:rPr>
                <w:sz w:val="18"/>
                <w:szCs w:val="18"/>
                <w:color w:val="auto"/>
              </w:rPr>
            </w:pPr>
          </w:p>
        </w:tc>
        <w:tc>
          <w:tcPr>
            <w:tcW w:w="280" w:type="dxa"/>
            <w:vAlign w:val="bottom"/>
          </w:tcPr>
          <w:p>
            <w:pPr>
              <w:jc w:val="right"/>
              <w:ind w:right="90"/>
              <w:spacing w:after="0"/>
              <w:rPr>
                <w:sz w:val="20"/>
                <w:szCs w:val="20"/>
                <w:color w:val="auto"/>
              </w:rPr>
            </w:pPr>
            <w:r>
              <w:rPr>
                <w:rFonts w:ascii="Arial" w:cs="Arial" w:eastAsia="Arial" w:hAnsi="Arial"/>
                <w:sz w:val="18"/>
                <w:szCs w:val="18"/>
                <w:color w:val="auto"/>
                <w:w w:val="79"/>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(4.8)</w:t>
            </w:r>
          </w:p>
        </w:tc>
        <w:tc>
          <w:tcPr>
            <w:tcW w:w="0" w:type="dxa"/>
            <w:vAlign w:val="bottom"/>
          </w:tcPr>
          <w:p>
            <w:pPr>
              <w:spacing w:after="0"/>
              <w:rPr>
                <w:sz w:val="1"/>
                <w:szCs w:val="1"/>
                <w:color w:val="auto"/>
              </w:rPr>
            </w:pPr>
          </w:p>
        </w:tc>
      </w:tr>
      <w:tr>
        <w:trPr>
          <w:trHeight w:val="216"/>
        </w:trPr>
        <w:tc>
          <w:tcPr>
            <w:tcW w:w="4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260" w:type="dxa"/>
            <w:vAlign w:val="bottom"/>
            <w:shd w:val="clear" w:color="auto" w:fill="CCEEFF"/>
          </w:tcPr>
          <w:p>
            <w:pPr>
              <w:jc w:val="right"/>
              <w:ind w:right="105"/>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(29.4)</w:t>
            </w:r>
          </w:p>
        </w:tc>
        <w:tc>
          <w:tcPr>
            <w:tcW w:w="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(36.5)</w:t>
            </w:r>
          </w:p>
        </w:tc>
        <w:tc>
          <w:tcPr>
            <w:tcW w:w="260" w:type="dxa"/>
            <w:vAlign w:val="bottom"/>
            <w:shd w:val="clear" w:color="auto" w:fill="CCEEFF"/>
          </w:tcPr>
          <w:p>
            <w:pPr>
              <w:jc w:val="right"/>
              <w:ind w:right="105"/>
              <w:spacing w:after="0"/>
              <w:rPr>
                <w:sz w:val="20"/>
                <w:szCs w:val="20"/>
                <w:color w:val="auto"/>
              </w:rPr>
            </w:pPr>
            <w:r>
              <w:rPr>
                <w:rFonts w:ascii="Arial" w:cs="Arial" w:eastAsia="Arial" w:hAnsi="Arial"/>
                <w:sz w:val="15"/>
                <w:szCs w:val="15"/>
                <w:color w:val="auto"/>
                <w:w w:val="71"/>
              </w:rPr>
              <w:t>$</w:t>
            </w: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(9.0)</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(10.6)</w:t>
            </w:r>
          </w:p>
        </w:tc>
        <w:tc>
          <w:tcPr>
            <w:tcW w:w="28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w w:val="79"/>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(10.9)</w:t>
            </w:r>
          </w:p>
        </w:tc>
        <w:tc>
          <w:tcPr>
            <w:tcW w:w="0" w:type="dxa"/>
            <w:vAlign w:val="bottom"/>
          </w:tcPr>
          <w:p>
            <w:pPr>
              <w:spacing w:after="0"/>
              <w:rPr>
                <w:sz w:val="1"/>
                <w:szCs w:val="1"/>
                <w:color w:val="auto"/>
              </w:rPr>
            </w:pPr>
          </w:p>
        </w:tc>
      </w:tr>
      <w:tr>
        <w:trPr>
          <w:trHeight w:val="216"/>
        </w:trPr>
        <w:tc>
          <w:tcPr>
            <w:tcW w:w="4040" w:type="dxa"/>
            <w:vAlign w:val="bottom"/>
            <w:gridSpan w:val="2"/>
          </w:tcPr>
          <w:p>
            <w:pPr>
              <w:spacing w:after="0"/>
              <w:rPr>
                <w:sz w:val="20"/>
                <w:szCs w:val="20"/>
                <w:color w:val="auto"/>
              </w:rPr>
            </w:pPr>
            <w:r>
              <w:rPr>
                <w:rFonts w:ascii="Arial" w:cs="Arial" w:eastAsia="Arial" w:hAnsi="Arial"/>
                <w:sz w:val="18"/>
                <w:szCs w:val="18"/>
                <w:color w:val="auto"/>
              </w:rPr>
              <w:t>Profit (loss) for the period</w:t>
            </w:r>
          </w:p>
        </w:tc>
        <w:tc>
          <w:tcPr>
            <w:tcW w:w="260" w:type="dxa"/>
            <w:vAlign w:val="bottom"/>
          </w:tcPr>
          <w:p>
            <w:pPr>
              <w:jc w:val="right"/>
              <w:ind w:right="105"/>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64.0</w:t>
            </w:r>
          </w:p>
        </w:tc>
        <w:tc>
          <w:tcPr>
            <w:tcW w:w="3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(9.6)</w:t>
            </w:r>
          </w:p>
        </w:tc>
        <w:tc>
          <w:tcPr>
            <w:tcW w:w="260" w:type="dxa"/>
            <w:vAlign w:val="bottom"/>
          </w:tcPr>
          <w:p>
            <w:pPr>
              <w:jc w:val="right"/>
              <w:ind w:right="105"/>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20.4</w:t>
            </w:r>
          </w:p>
        </w:tc>
        <w:tc>
          <w:tcPr>
            <w:tcW w:w="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22.3</w:t>
            </w:r>
          </w:p>
        </w:tc>
        <w:tc>
          <w:tcPr>
            <w:tcW w:w="280" w:type="dxa"/>
            <w:vAlign w:val="bottom"/>
          </w:tcPr>
          <w:p>
            <w:pPr>
              <w:jc w:val="right"/>
              <w:ind w:right="90"/>
              <w:spacing w:after="0"/>
              <w:rPr>
                <w:sz w:val="20"/>
                <w:szCs w:val="20"/>
                <w:color w:val="auto"/>
              </w:rPr>
            </w:pPr>
            <w:r>
              <w:rPr>
                <w:rFonts w:ascii="Arial" w:cs="Arial" w:eastAsia="Arial" w:hAnsi="Arial"/>
                <w:sz w:val="18"/>
                <w:szCs w:val="18"/>
                <w:color w:val="auto"/>
                <w:w w:val="79"/>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(40.7)</w:t>
            </w:r>
          </w:p>
        </w:tc>
        <w:tc>
          <w:tcPr>
            <w:tcW w:w="0" w:type="dxa"/>
            <w:vAlign w:val="bottom"/>
          </w:tcPr>
          <w:p>
            <w:pPr>
              <w:spacing w:after="0"/>
              <w:rPr>
                <w:sz w:val="1"/>
                <w:szCs w:val="1"/>
                <w:color w:val="auto"/>
              </w:rPr>
            </w:pPr>
          </w:p>
        </w:tc>
      </w:tr>
      <w:tr>
        <w:trPr>
          <w:trHeight w:val="216"/>
        </w:trPr>
        <w:tc>
          <w:tcPr>
            <w:tcW w:w="404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04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(1)</w:t>
            </w:r>
          </w:p>
        </w:tc>
        <w:tc>
          <w:tcPr>
            <w:tcW w:w="260" w:type="dxa"/>
            <w:vAlign w:val="bottom"/>
          </w:tcPr>
          <w:p>
            <w:pPr>
              <w:jc w:val="right"/>
              <w:ind w:right="105"/>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1.62</w:t>
            </w:r>
          </w:p>
        </w:tc>
        <w:tc>
          <w:tcPr>
            <w:tcW w:w="3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(0.24)</w:t>
            </w:r>
          </w:p>
        </w:tc>
        <w:tc>
          <w:tcPr>
            <w:tcW w:w="260" w:type="dxa"/>
            <w:vAlign w:val="bottom"/>
          </w:tcPr>
          <w:p>
            <w:pPr>
              <w:jc w:val="right"/>
              <w:ind w:right="105"/>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0.52</w:t>
            </w:r>
          </w:p>
        </w:tc>
        <w:tc>
          <w:tcPr>
            <w:tcW w:w="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0.56</w:t>
            </w:r>
          </w:p>
        </w:tc>
        <w:tc>
          <w:tcPr>
            <w:tcW w:w="280" w:type="dxa"/>
            <w:vAlign w:val="bottom"/>
          </w:tcPr>
          <w:p>
            <w:pPr>
              <w:jc w:val="right"/>
              <w:ind w:right="90"/>
              <w:spacing w:after="0"/>
              <w:rPr>
                <w:sz w:val="20"/>
                <w:szCs w:val="20"/>
                <w:color w:val="auto"/>
              </w:rPr>
            </w:pPr>
            <w:r>
              <w:rPr>
                <w:rFonts w:ascii="Arial" w:cs="Arial" w:eastAsia="Arial" w:hAnsi="Arial"/>
                <w:sz w:val="18"/>
                <w:szCs w:val="18"/>
                <w:color w:val="auto"/>
                <w:w w:val="79"/>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(1.03)</w:t>
            </w:r>
          </w:p>
        </w:tc>
        <w:tc>
          <w:tcPr>
            <w:tcW w:w="0" w:type="dxa"/>
            <w:vAlign w:val="bottom"/>
          </w:tcPr>
          <w:p>
            <w:pPr>
              <w:spacing w:after="0"/>
              <w:rPr>
                <w:sz w:val="1"/>
                <w:szCs w:val="1"/>
                <w:color w:val="auto"/>
              </w:rPr>
            </w:pPr>
          </w:p>
        </w:tc>
      </w:tr>
      <w:tr>
        <w:trPr>
          <w:trHeight w:val="257"/>
        </w:trPr>
        <w:tc>
          <w:tcPr>
            <w:tcW w:w="404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(2)</w:t>
            </w:r>
          </w:p>
        </w:tc>
        <w:tc>
          <w:tcPr>
            <w:tcW w:w="26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8.5%</w:t>
            </w:r>
          </w:p>
        </w:tc>
        <w:tc>
          <w:tcPr>
            <w:tcW w:w="6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w:t>
            </w:r>
          </w:p>
        </w:tc>
        <w:tc>
          <w:tcPr>
            <w:tcW w:w="26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8.0%</w:t>
            </w:r>
          </w:p>
        </w:tc>
        <w:tc>
          <w:tcPr>
            <w:tcW w:w="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9.0%</w:t>
            </w:r>
          </w:p>
        </w:tc>
        <w:tc>
          <w:tcPr>
            <w:tcW w:w="28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-15.5%</w:t>
            </w:r>
          </w:p>
        </w:tc>
        <w:tc>
          <w:tcPr>
            <w:tcW w:w="0" w:type="dxa"/>
            <w:vAlign w:val="bottom"/>
          </w:tcPr>
          <w:p>
            <w:pPr>
              <w:spacing w:after="0"/>
              <w:rPr>
                <w:sz w:val="1"/>
                <w:szCs w:val="1"/>
                <w:color w:val="auto"/>
              </w:rPr>
            </w:pPr>
          </w:p>
        </w:tc>
      </w:tr>
      <w:tr>
        <w:trPr>
          <w:trHeight w:val="216"/>
        </w:trPr>
        <w:tc>
          <w:tcPr>
            <w:tcW w:w="4040" w:type="dxa"/>
            <w:vAlign w:val="bottom"/>
            <w:gridSpan w:val="2"/>
          </w:tcPr>
          <w:p>
            <w:pPr>
              <w:spacing w:after="0"/>
              <w:rPr>
                <w:sz w:val="20"/>
                <w:szCs w:val="20"/>
                <w:color w:val="auto"/>
              </w:rPr>
            </w:pPr>
            <w:r>
              <w:rPr>
                <w:rFonts w:ascii="Arial" w:cs="Arial" w:eastAsia="Arial" w:hAnsi="Arial"/>
                <w:sz w:val="18"/>
                <w:szCs w:val="18"/>
                <w:color w:val="auto"/>
              </w:rPr>
              <w:t>Return on Average Assets (“ROAA”)</w:t>
            </w:r>
          </w:p>
        </w:tc>
        <w:tc>
          <w:tcPr>
            <w:tcW w:w="260" w:type="dxa"/>
            <w:vAlign w:val="bottom"/>
          </w:tcPr>
          <w:p>
            <w:pPr>
              <w:spacing w:after="0"/>
              <w:rPr>
                <w:sz w:val="18"/>
                <w:szCs w:val="18"/>
                <w:color w:val="auto"/>
              </w:rPr>
            </w:pP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rPr>
              <w:t>1.36%</w:t>
            </w: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-0.20%</w:t>
            </w:r>
          </w:p>
        </w:tc>
        <w:tc>
          <w:tcPr>
            <w:tcW w:w="260" w:type="dxa"/>
            <w:vAlign w:val="bottom"/>
          </w:tcPr>
          <w:p>
            <w:pPr>
              <w:spacing w:after="0"/>
              <w:rPr>
                <w:sz w:val="18"/>
                <w:szCs w:val="18"/>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1.34%</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1.43%</w:t>
            </w:r>
          </w:p>
        </w:tc>
        <w:tc>
          <w:tcPr>
            <w:tcW w:w="280" w:type="dxa"/>
            <w:vAlign w:val="bottom"/>
          </w:tcPr>
          <w:p>
            <w:pPr>
              <w:spacing w:after="0"/>
              <w:rPr>
                <w:sz w:val="18"/>
                <w:szCs w:val="18"/>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-2.58%</w:t>
            </w:r>
          </w:p>
        </w:tc>
        <w:tc>
          <w:tcPr>
            <w:tcW w:w="0" w:type="dxa"/>
            <w:vAlign w:val="bottom"/>
          </w:tcPr>
          <w:p>
            <w:pPr>
              <w:spacing w:after="0"/>
              <w:rPr>
                <w:sz w:val="1"/>
                <w:szCs w:val="1"/>
                <w:color w:val="auto"/>
              </w:rPr>
            </w:pPr>
          </w:p>
        </w:tc>
      </w:tr>
      <w:tr>
        <w:trPr>
          <w:trHeight w:val="257"/>
        </w:trPr>
        <w:tc>
          <w:tcPr>
            <w:tcW w:w="404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(3)</w:t>
            </w:r>
          </w:p>
        </w:tc>
        <w:tc>
          <w:tcPr>
            <w:tcW w:w="26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1.77%</w:t>
            </w:r>
          </w:p>
        </w:tc>
        <w:tc>
          <w:tcPr>
            <w:tcW w:w="6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1.74%</w:t>
            </w:r>
          </w:p>
        </w:tc>
        <w:tc>
          <w:tcPr>
            <w:tcW w:w="26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1.77%</w:t>
            </w:r>
          </w:p>
        </w:tc>
        <w:tc>
          <w:tcPr>
            <w:tcW w:w="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1.81%</w:t>
            </w:r>
          </w:p>
        </w:tc>
        <w:tc>
          <w:tcPr>
            <w:tcW w:w="28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1.74%</w:t>
            </w:r>
          </w:p>
        </w:tc>
        <w:tc>
          <w:tcPr>
            <w:tcW w:w="0" w:type="dxa"/>
            <w:vAlign w:val="bottom"/>
          </w:tcPr>
          <w:p>
            <w:pPr>
              <w:spacing w:after="0"/>
              <w:rPr>
                <w:sz w:val="1"/>
                <w:szCs w:val="1"/>
                <w:color w:val="auto"/>
              </w:rPr>
            </w:pPr>
          </w:p>
        </w:tc>
      </w:tr>
      <w:tr>
        <w:trPr>
          <w:trHeight w:val="257"/>
        </w:trPr>
        <w:tc>
          <w:tcPr>
            <w:tcW w:w="404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(4)</w:t>
            </w:r>
          </w:p>
        </w:tc>
        <w:tc>
          <w:tcPr>
            <w:tcW w:w="260" w:type="dxa"/>
            <w:vAlign w:val="bottom"/>
          </w:tcPr>
          <w:p>
            <w:pPr>
              <w:spacing w:after="0"/>
              <w:rPr>
                <w:sz w:val="22"/>
                <w:szCs w:val="22"/>
                <w:color w:val="auto"/>
              </w:rPr>
            </w:pP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rPr>
              <w:t>1.19%</w:t>
            </w:r>
          </w:p>
        </w:tc>
        <w:tc>
          <w:tcPr>
            <w:tcW w:w="6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1.26%</w:t>
            </w:r>
          </w:p>
        </w:tc>
        <w:tc>
          <w:tcPr>
            <w:tcW w:w="260" w:type="dxa"/>
            <w:vAlign w:val="bottom"/>
          </w:tcPr>
          <w:p>
            <w:pPr>
              <w:spacing w:after="0"/>
              <w:rPr>
                <w:sz w:val="22"/>
                <w:szCs w:val="22"/>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1.19%</w:t>
            </w:r>
          </w:p>
        </w:tc>
        <w:tc>
          <w:tcPr>
            <w:tcW w:w="60" w:type="dxa"/>
            <w:vAlign w:val="bottom"/>
          </w:tcPr>
          <w:p>
            <w:pPr>
              <w:spacing w:after="0"/>
              <w:rPr>
                <w:sz w:val="22"/>
                <w:szCs w:val="22"/>
                <w:color w:val="auto"/>
              </w:rPr>
            </w:pPr>
          </w:p>
        </w:tc>
        <w:tc>
          <w:tcPr>
            <w:tcW w:w="28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1.22%</w:t>
            </w:r>
          </w:p>
        </w:tc>
        <w:tc>
          <w:tcPr>
            <w:tcW w:w="28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1.20%</w:t>
            </w:r>
          </w:p>
        </w:tc>
        <w:tc>
          <w:tcPr>
            <w:tcW w:w="0" w:type="dxa"/>
            <w:vAlign w:val="bottom"/>
          </w:tcPr>
          <w:p>
            <w:pPr>
              <w:spacing w:after="0"/>
              <w:rPr>
                <w:sz w:val="1"/>
                <w:szCs w:val="1"/>
                <w:color w:val="auto"/>
              </w:rPr>
            </w:pPr>
          </w:p>
        </w:tc>
      </w:tr>
      <w:tr>
        <w:trPr>
          <w:trHeight w:val="257"/>
        </w:trPr>
        <w:tc>
          <w:tcPr>
            <w:tcW w:w="404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(5)</w:t>
            </w:r>
          </w:p>
        </w:tc>
        <w:tc>
          <w:tcPr>
            <w:tcW w:w="26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30.9%</w:t>
            </w:r>
          </w:p>
        </w:tc>
        <w:tc>
          <w:tcPr>
            <w:tcW w:w="6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39.1%</w:t>
            </w:r>
          </w:p>
        </w:tc>
        <w:tc>
          <w:tcPr>
            <w:tcW w:w="26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30.4%</w:t>
            </w:r>
          </w:p>
        </w:tc>
        <w:tc>
          <w:tcPr>
            <w:tcW w:w="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31.4%</w:t>
            </w:r>
          </w:p>
        </w:tc>
        <w:tc>
          <w:tcPr>
            <w:tcW w:w="28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36.0%</w:t>
            </w:r>
          </w:p>
        </w:tc>
        <w:tc>
          <w:tcPr>
            <w:tcW w:w="0" w:type="dxa"/>
            <w:vAlign w:val="bottom"/>
          </w:tcPr>
          <w:p>
            <w:pPr>
              <w:spacing w:after="0"/>
              <w:rPr>
                <w:sz w:val="1"/>
                <w:szCs w:val="1"/>
                <w:color w:val="auto"/>
              </w:rPr>
            </w:pPr>
          </w:p>
        </w:tc>
      </w:tr>
      <w:tr>
        <w:trPr>
          <w:trHeight w:val="216"/>
        </w:trPr>
        <w:tc>
          <w:tcPr>
            <w:tcW w:w="4040" w:type="dxa"/>
            <w:vAlign w:val="bottom"/>
            <w:gridSpan w:val="2"/>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04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(6)</w:t>
            </w:r>
          </w:p>
        </w:tc>
        <w:tc>
          <w:tcPr>
            <w:tcW w:w="260" w:type="dxa"/>
            <w:vAlign w:val="bottom"/>
            <w:shd w:val="clear" w:color="auto" w:fill="CCEEFF"/>
          </w:tcPr>
          <w:p>
            <w:pPr>
              <w:jc w:val="right"/>
              <w:ind w:right="105"/>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6,217</w:t>
            </w:r>
          </w:p>
        </w:tc>
        <w:tc>
          <w:tcPr>
            <w:tcW w:w="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6,305</w:t>
            </w:r>
          </w:p>
        </w:tc>
        <w:tc>
          <w:tcPr>
            <w:tcW w:w="260" w:type="dxa"/>
            <w:vAlign w:val="bottom"/>
            <w:shd w:val="clear" w:color="auto" w:fill="CCEEFF"/>
          </w:tcPr>
          <w:p>
            <w:pPr>
              <w:jc w:val="right"/>
              <w:ind w:right="105"/>
              <w:spacing w:after="0"/>
              <w:rPr>
                <w:sz w:val="20"/>
                <w:szCs w:val="20"/>
                <w:color w:val="auto"/>
              </w:rPr>
            </w:pPr>
            <w:r>
              <w:rPr>
                <w:rFonts w:ascii="Arial" w:cs="Arial" w:eastAsia="Arial" w:hAnsi="Arial"/>
                <w:sz w:val="15"/>
                <w:szCs w:val="15"/>
                <w:color w:val="auto"/>
                <w:w w:val="71"/>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6,217</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6,209</w:t>
            </w:r>
          </w:p>
        </w:tc>
        <w:tc>
          <w:tcPr>
            <w:tcW w:w="260" w:type="dxa"/>
            <w:vAlign w:val="bottom"/>
            <w:shd w:val="clear" w:color="auto" w:fill="CCEEFF"/>
          </w:tcPr>
          <w:p>
            <w:pPr>
              <w:spacing w:after="0"/>
              <w:rPr>
                <w:sz w:val="22"/>
                <w:szCs w:val="22"/>
                <w:color w:val="auto"/>
              </w:rPr>
            </w:pPr>
          </w:p>
        </w:tc>
        <w:tc>
          <w:tcPr>
            <w:tcW w:w="28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w w:val="79"/>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6,305</w:t>
            </w:r>
          </w:p>
        </w:tc>
        <w:tc>
          <w:tcPr>
            <w:tcW w:w="0" w:type="dxa"/>
            <w:vAlign w:val="bottom"/>
          </w:tcPr>
          <w:p>
            <w:pPr>
              <w:spacing w:after="0"/>
              <w:rPr>
                <w:sz w:val="1"/>
                <w:szCs w:val="1"/>
                <w:color w:val="auto"/>
              </w:rPr>
            </w:pPr>
          </w:p>
        </w:tc>
      </w:tr>
      <w:tr>
        <w:trPr>
          <w:trHeight w:val="216"/>
        </w:trPr>
        <w:tc>
          <w:tcPr>
            <w:tcW w:w="4040" w:type="dxa"/>
            <w:vAlign w:val="bottom"/>
            <w:gridSpan w:val="2"/>
          </w:tcPr>
          <w:p>
            <w:pPr>
              <w:spacing w:after="0"/>
              <w:rPr>
                <w:sz w:val="20"/>
                <w:szCs w:val="20"/>
                <w:color w:val="auto"/>
              </w:rPr>
            </w:pPr>
            <w:r>
              <w:rPr>
                <w:rFonts w:ascii="Arial" w:cs="Arial" w:eastAsia="Arial" w:hAnsi="Arial"/>
                <w:sz w:val="18"/>
                <w:szCs w:val="18"/>
                <w:color w:val="auto"/>
              </w:rPr>
              <w:t>Investment Portfolio</w:t>
            </w:r>
          </w:p>
        </w:tc>
        <w:tc>
          <w:tcPr>
            <w:tcW w:w="260" w:type="dxa"/>
            <w:vAlign w:val="bottom"/>
          </w:tcPr>
          <w:p>
            <w:pPr>
              <w:jc w:val="right"/>
              <w:ind w:right="105"/>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85</w:t>
            </w:r>
          </w:p>
        </w:tc>
        <w:tc>
          <w:tcPr>
            <w:tcW w:w="3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93</w:t>
            </w:r>
          </w:p>
        </w:tc>
        <w:tc>
          <w:tcPr>
            <w:tcW w:w="280" w:type="dxa"/>
            <w:vAlign w:val="bottom"/>
          </w:tcPr>
          <w:p>
            <w:pPr>
              <w:spacing w:after="0"/>
              <w:rPr>
                <w:sz w:val="18"/>
                <w:szCs w:val="18"/>
                <w:color w:val="auto"/>
              </w:rPr>
            </w:pPr>
          </w:p>
        </w:tc>
        <w:tc>
          <w:tcPr>
            <w:tcW w:w="260" w:type="dxa"/>
            <w:vAlign w:val="bottom"/>
          </w:tcPr>
          <w:p>
            <w:pPr>
              <w:jc w:val="right"/>
              <w:ind w:right="105"/>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85</w:t>
            </w:r>
          </w:p>
        </w:tc>
        <w:tc>
          <w:tcPr>
            <w:tcW w:w="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88</w:t>
            </w:r>
          </w:p>
        </w:tc>
        <w:tc>
          <w:tcPr>
            <w:tcW w:w="260" w:type="dxa"/>
            <w:vAlign w:val="bottom"/>
          </w:tcPr>
          <w:p>
            <w:pPr>
              <w:spacing w:after="0"/>
              <w:rPr>
                <w:sz w:val="18"/>
                <w:szCs w:val="18"/>
                <w:color w:val="auto"/>
              </w:rPr>
            </w:pPr>
          </w:p>
        </w:tc>
        <w:tc>
          <w:tcPr>
            <w:tcW w:w="280" w:type="dxa"/>
            <w:vAlign w:val="bottom"/>
          </w:tcPr>
          <w:p>
            <w:pPr>
              <w:jc w:val="right"/>
              <w:ind w:right="90"/>
              <w:spacing w:after="0"/>
              <w:rPr>
                <w:sz w:val="20"/>
                <w:szCs w:val="20"/>
                <w:color w:val="auto"/>
              </w:rPr>
            </w:pPr>
            <w:r>
              <w:rPr>
                <w:rFonts w:ascii="Arial" w:cs="Arial" w:eastAsia="Arial" w:hAnsi="Arial"/>
                <w:sz w:val="18"/>
                <w:szCs w:val="18"/>
                <w:color w:val="auto"/>
                <w:w w:val="79"/>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93</w:t>
            </w:r>
          </w:p>
        </w:tc>
        <w:tc>
          <w:tcPr>
            <w:tcW w:w="0" w:type="dxa"/>
            <w:vAlign w:val="bottom"/>
          </w:tcPr>
          <w:p>
            <w:pPr>
              <w:spacing w:after="0"/>
              <w:rPr>
                <w:sz w:val="1"/>
                <w:szCs w:val="1"/>
                <w:color w:val="auto"/>
              </w:rPr>
            </w:pPr>
          </w:p>
        </w:tc>
      </w:tr>
      <w:tr>
        <w:trPr>
          <w:trHeight w:val="216"/>
        </w:trPr>
        <w:tc>
          <w:tcPr>
            <w:tcW w:w="4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assets</w:t>
            </w:r>
          </w:p>
        </w:tc>
        <w:tc>
          <w:tcPr>
            <w:tcW w:w="260" w:type="dxa"/>
            <w:vAlign w:val="bottom"/>
            <w:shd w:val="clear" w:color="auto" w:fill="CCEEFF"/>
          </w:tcPr>
          <w:p>
            <w:pPr>
              <w:jc w:val="right"/>
              <w:ind w:right="105"/>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6,681</w:t>
            </w:r>
          </w:p>
        </w:tc>
        <w:tc>
          <w:tcPr>
            <w:tcW w:w="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6,561</w:t>
            </w:r>
          </w:p>
        </w:tc>
        <w:tc>
          <w:tcPr>
            <w:tcW w:w="260" w:type="dxa"/>
            <w:vAlign w:val="bottom"/>
            <w:shd w:val="clear" w:color="auto" w:fill="CCEEFF"/>
          </w:tcPr>
          <w:p>
            <w:pPr>
              <w:jc w:val="right"/>
              <w:ind w:right="105"/>
              <w:spacing w:after="0"/>
              <w:rPr>
                <w:sz w:val="20"/>
                <w:szCs w:val="20"/>
                <w:color w:val="auto"/>
              </w:rPr>
            </w:pPr>
            <w:r>
              <w:rPr>
                <w:rFonts w:ascii="Arial" w:cs="Arial" w:eastAsia="Arial" w:hAnsi="Arial"/>
                <w:sz w:val="15"/>
                <w:szCs w:val="15"/>
                <w:color w:val="auto"/>
                <w:w w:val="71"/>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6,681</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6,576</w:t>
            </w:r>
          </w:p>
        </w:tc>
        <w:tc>
          <w:tcPr>
            <w:tcW w:w="260" w:type="dxa"/>
            <w:vAlign w:val="bottom"/>
            <w:shd w:val="clear" w:color="auto" w:fill="CCEEFF"/>
          </w:tcPr>
          <w:p>
            <w:pPr>
              <w:spacing w:after="0"/>
              <w:rPr>
                <w:sz w:val="18"/>
                <w:szCs w:val="18"/>
                <w:color w:val="auto"/>
              </w:rPr>
            </w:pPr>
          </w:p>
        </w:tc>
        <w:tc>
          <w:tcPr>
            <w:tcW w:w="28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w w:val="79"/>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6,561</w:t>
            </w:r>
          </w:p>
        </w:tc>
        <w:tc>
          <w:tcPr>
            <w:tcW w:w="0" w:type="dxa"/>
            <w:vAlign w:val="bottom"/>
          </w:tcPr>
          <w:p>
            <w:pPr>
              <w:spacing w:after="0"/>
              <w:rPr>
                <w:sz w:val="1"/>
                <w:szCs w:val="1"/>
                <w:color w:val="auto"/>
              </w:rPr>
            </w:pPr>
          </w:p>
        </w:tc>
      </w:tr>
      <w:tr>
        <w:trPr>
          <w:trHeight w:val="216"/>
        </w:trPr>
        <w:tc>
          <w:tcPr>
            <w:tcW w:w="4040" w:type="dxa"/>
            <w:vAlign w:val="bottom"/>
            <w:gridSpan w:val="2"/>
          </w:tcPr>
          <w:p>
            <w:pPr>
              <w:spacing w:after="0"/>
              <w:rPr>
                <w:sz w:val="20"/>
                <w:szCs w:val="20"/>
                <w:color w:val="auto"/>
              </w:rPr>
            </w:pPr>
            <w:r>
              <w:rPr>
                <w:rFonts w:ascii="Arial" w:cs="Arial" w:eastAsia="Arial" w:hAnsi="Arial"/>
                <w:sz w:val="18"/>
                <w:szCs w:val="18"/>
                <w:color w:val="auto"/>
              </w:rPr>
              <w:t>Total equity</w:t>
            </w:r>
          </w:p>
        </w:tc>
        <w:tc>
          <w:tcPr>
            <w:tcW w:w="260" w:type="dxa"/>
            <w:vAlign w:val="bottom"/>
          </w:tcPr>
          <w:p>
            <w:pPr>
              <w:jc w:val="right"/>
              <w:ind w:right="105"/>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1,009</w:t>
            </w:r>
          </w:p>
        </w:tc>
        <w:tc>
          <w:tcPr>
            <w:tcW w:w="3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989</w:t>
            </w:r>
          </w:p>
        </w:tc>
        <w:tc>
          <w:tcPr>
            <w:tcW w:w="260" w:type="dxa"/>
            <w:vAlign w:val="bottom"/>
          </w:tcPr>
          <w:p>
            <w:pPr>
              <w:jc w:val="right"/>
              <w:ind w:right="105"/>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1,009</w:t>
            </w:r>
          </w:p>
        </w:tc>
        <w:tc>
          <w:tcPr>
            <w:tcW w:w="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1,003</w:t>
            </w:r>
          </w:p>
        </w:tc>
        <w:tc>
          <w:tcPr>
            <w:tcW w:w="260" w:type="dxa"/>
            <w:vAlign w:val="bottom"/>
          </w:tcPr>
          <w:p>
            <w:pPr>
              <w:spacing w:after="0"/>
              <w:rPr>
                <w:sz w:val="18"/>
                <w:szCs w:val="18"/>
                <w:color w:val="auto"/>
              </w:rPr>
            </w:pPr>
          </w:p>
        </w:tc>
        <w:tc>
          <w:tcPr>
            <w:tcW w:w="280" w:type="dxa"/>
            <w:vAlign w:val="bottom"/>
          </w:tcPr>
          <w:p>
            <w:pPr>
              <w:jc w:val="right"/>
              <w:ind w:right="90"/>
              <w:spacing w:after="0"/>
              <w:rPr>
                <w:sz w:val="20"/>
                <w:szCs w:val="20"/>
                <w:color w:val="auto"/>
              </w:rPr>
            </w:pPr>
            <w:r>
              <w:rPr>
                <w:rFonts w:ascii="Arial" w:cs="Arial" w:eastAsia="Arial" w:hAnsi="Arial"/>
                <w:sz w:val="18"/>
                <w:szCs w:val="18"/>
                <w:color w:val="auto"/>
                <w:w w:val="79"/>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989</w:t>
            </w:r>
          </w:p>
        </w:tc>
        <w:tc>
          <w:tcPr>
            <w:tcW w:w="0" w:type="dxa"/>
            <w:vAlign w:val="bottom"/>
          </w:tcPr>
          <w:p>
            <w:pPr>
              <w:spacing w:after="0"/>
              <w:rPr>
                <w:sz w:val="1"/>
                <w:szCs w:val="1"/>
                <w:color w:val="auto"/>
              </w:rPr>
            </w:pPr>
          </w:p>
        </w:tc>
      </w:tr>
      <w:tr>
        <w:trPr>
          <w:trHeight w:val="257"/>
        </w:trPr>
        <w:tc>
          <w:tcPr>
            <w:tcW w:w="404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(7)</w:t>
            </w:r>
          </w:p>
        </w:tc>
        <w:tc>
          <w:tcPr>
            <w:tcW w:w="260" w:type="dxa"/>
            <w:vAlign w:val="bottom"/>
            <w:shd w:val="clear" w:color="auto" w:fill="CCEEFF"/>
          </w:tcPr>
          <w:p>
            <w:pPr>
              <w:jc w:val="right"/>
              <w:ind w:right="105"/>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790</w:t>
            </w:r>
          </w:p>
        </w:tc>
        <w:tc>
          <w:tcPr>
            <w:tcW w:w="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827</w:t>
            </w:r>
          </w:p>
        </w:tc>
        <w:tc>
          <w:tcPr>
            <w:tcW w:w="260" w:type="dxa"/>
            <w:vAlign w:val="bottom"/>
            <w:shd w:val="clear" w:color="auto" w:fill="CCEEFF"/>
          </w:tcPr>
          <w:p>
            <w:pPr>
              <w:jc w:val="right"/>
              <w:ind w:right="105"/>
              <w:spacing w:after="0"/>
              <w:rPr>
                <w:sz w:val="20"/>
                <w:szCs w:val="20"/>
                <w:color w:val="auto"/>
              </w:rPr>
            </w:pPr>
            <w:r>
              <w:rPr>
                <w:rFonts w:ascii="Arial" w:cs="Arial" w:eastAsia="Arial" w:hAnsi="Arial"/>
                <w:sz w:val="15"/>
                <w:szCs w:val="15"/>
                <w:color w:val="auto"/>
                <w:w w:val="71"/>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790</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825</w:t>
            </w:r>
          </w:p>
        </w:tc>
        <w:tc>
          <w:tcPr>
            <w:tcW w:w="28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w w:val="79"/>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827</w:t>
            </w:r>
          </w:p>
        </w:tc>
        <w:tc>
          <w:tcPr>
            <w:tcW w:w="0" w:type="dxa"/>
            <w:vAlign w:val="bottom"/>
          </w:tcPr>
          <w:p>
            <w:pPr>
              <w:spacing w:after="0"/>
              <w:rPr>
                <w:sz w:val="1"/>
                <w:szCs w:val="1"/>
                <w:color w:val="auto"/>
              </w:rPr>
            </w:pPr>
          </w:p>
        </w:tc>
      </w:tr>
      <w:tr>
        <w:trPr>
          <w:trHeight w:val="257"/>
        </w:trPr>
        <w:tc>
          <w:tcPr>
            <w:tcW w:w="404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(8)</w:t>
            </w:r>
          </w:p>
        </w:tc>
        <w:tc>
          <w:tcPr>
            <w:tcW w:w="260" w:type="dxa"/>
            <w:vAlign w:val="bottom"/>
          </w:tcPr>
          <w:p>
            <w:pPr>
              <w:spacing w:after="0"/>
              <w:rPr>
                <w:sz w:val="22"/>
                <w:szCs w:val="22"/>
                <w:color w:val="auto"/>
              </w:rPr>
            </w:pP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rPr>
              <w:t>21.1%</w:t>
            </w:r>
          </w:p>
        </w:tc>
        <w:tc>
          <w:tcPr>
            <w:tcW w:w="6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17.8%</w:t>
            </w:r>
          </w:p>
        </w:tc>
        <w:tc>
          <w:tcPr>
            <w:tcW w:w="260" w:type="dxa"/>
            <w:vAlign w:val="bottom"/>
          </w:tcPr>
          <w:p>
            <w:pPr>
              <w:spacing w:after="0"/>
              <w:rPr>
                <w:sz w:val="22"/>
                <w:szCs w:val="22"/>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21.1%</w:t>
            </w:r>
          </w:p>
        </w:tc>
        <w:tc>
          <w:tcPr>
            <w:tcW w:w="60" w:type="dxa"/>
            <w:vAlign w:val="bottom"/>
          </w:tcPr>
          <w:p>
            <w:pPr>
              <w:spacing w:after="0"/>
              <w:rPr>
                <w:sz w:val="22"/>
                <w:szCs w:val="22"/>
                <w:color w:val="auto"/>
              </w:rPr>
            </w:pPr>
          </w:p>
        </w:tc>
        <w:tc>
          <w:tcPr>
            <w:tcW w:w="28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20.4%</w:t>
            </w:r>
          </w:p>
        </w:tc>
        <w:tc>
          <w:tcPr>
            <w:tcW w:w="28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17.8%</w:t>
            </w:r>
          </w:p>
        </w:tc>
        <w:tc>
          <w:tcPr>
            <w:tcW w:w="0" w:type="dxa"/>
            <w:vAlign w:val="bottom"/>
          </w:tcPr>
          <w:p>
            <w:pPr>
              <w:spacing w:after="0"/>
              <w:rPr>
                <w:sz w:val="1"/>
                <w:szCs w:val="1"/>
                <w:color w:val="auto"/>
              </w:rPr>
            </w:pPr>
          </w:p>
        </w:tc>
      </w:tr>
      <w:tr>
        <w:trPr>
          <w:trHeight w:val="216"/>
        </w:trPr>
        <w:tc>
          <w:tcPr>
            <w:tcW w:w="4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assets / Total equity (times)</w:t>
            </w:r>
          </w:p>
        </w:tc>
        <w:tc>
          <w:tcPr>
            <w:tcW w:w="2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6.6</w:t>
            </w: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6.6</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6.6</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w:t>
            </w:r>
          </w:p>
        </w:tc>
        <w:tc>
          <w:tcPr>
            <w:tcW w:w="2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6.6</w:t>
            </w:r>
          </w:p>
        </w:tc>
        <w:tc>
          <w:tcPr>
            <w:tcW w:w="0" w:type="dxa"/>
            <w:vAlign w:val="bottom"/>
          </w:tcPr>
          <w:p>
            <w:pPr>
              <w:spacing w:after="0"/>
              <w:rPr>
                <w:sz w:val="1"/>
                <w:szCs w:val="1"/>
                <w:color w:val="auto"/>
              </w:rPr>
            </w:pPr>
          </w:p>
        </w:tc>
      </w:tr>
      <w:tr>
        <w:trPr>
          <w:trHeight w:val="257"/>
        </w:trPr>
        <w:tc>
          <w:tcPr>
            <w:tcW w:w="404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(9)</w:t>
            </w:r>
          </w:p>
        </w:tc>
        <w:tc>
          <w:tcPr>
            <w:tcW w:w="260" w:type="dxa"/>
            <w:vAlign w:val="bottom"/>
          </w:tcPr>
          <w:p>
            <w:pPr>
              <w:spacing w:after="0"/>
              <w:rPr>
                <w:sz w:val="22"/>
                <w:szCs w:val="22"/>
                <w:color w:val="auto"/>
              </w:rPr>
            </w:pP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rPr>
              <w:t>14.4%</w:t>
            </w:r>
          </w:p>
        </w:tc>
        <w:tc>
          <w:tcPr>
            <w:tcW w:w="6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11.7%</w:t>
            </w:r>
          </w:p>
        </w:tc>
        <w:tc>
          <w:tcPr>
            <w:tcW w:w="260" w:type="dxa"/>
            <w:vAlign w:val="bottom"/>
          </w:tcPr>
          <w:p>
            <w:pPr>
              <w:spacing w:after="0"/>
              <w:rPr>
                <w:sz w:val="22"/>
                <w:szCs w:val="22"/>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14.4%</w:t>
            </w:r>
          </w:p>
        </w:tc>
        <w:tc>
          <w:tcPr>
            <w:tcW w:w="60" w:type="dxa"/>
            <w:vAlign w:val="bottom"/>
          </w:tcPr>
          <w:p>
            <w:pPr>
              <w:spacing w:after="0"/>
              <w:rPr>
                <w:sz w:val="22"/>
                <w:szCs w:val="22"/>
                <w:color w:val="auto"/>
              </w:rPr>
            </w:pPr>
          </w:p>
        </w:tc>
        <w:tc>
          <w:tcPr>
            <w:tcW w:w="28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12.8%</w:t>
            </w:r>
          </w:p>
        </w:tc>
        <w:tc>
          <w:tcPr>
            <w:tcW w:w="28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11.7%</w:t>
            </w:r>
          </w:p>
        </w:tc>
        <w:tc>
          <w:tcPr>
            <w:tcW w:w="0" w:type="dxa"/>
            <w:vAlign w:val="bottom"/>
          </w:tcPr>
          <w:p>
            <w:pPr>
              <w:spacing w:after="0"/>
              <w:rPr>
                <w:sz w:val="1"/>
                <w:szCs w:val="1"/>
                <w:color w:val="auto"/>
              </w:rPr>
            </w:pPr>
          </w:p>
        </w:tc>
      </w:tr>
      <w:tr>
        <w:trPr>
          <w:trHeight w:val="257"/>
        </w:trPr>
        <w:tc>
          <w:tcPr>
            <w:tcW w:w="404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Credit-impaired loans to Loan Portfolio </w:t>
            </w:r>
            <w:r>
              <w:rPr>
                <w:rFonts w:ascii="Arial" w:cs="Arial" w:eastAsia="Arial" w:hAnsi="Arial"/>
                <w:sz w:val="29"/>
                <w:szCs w:val="29"/>
                <w:color w:val="auto"/>
                <w:vertAlign w:val="superscript"/>
              </w:rPr>
              <w:t>(10)</w:t>
            </w:r>
          </w:p>
        </w:tc>
        <w:tc>
          <w:tcPr>
            <w:tcW w:w="26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1.11%</w:t>
            </w:r>
          </w:p>
        </w:tc>
        <w:tc>
          <w:tcPr>
            <w:tcW w:w="6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2.08%</w:t>
            </w:r>
          </w:p>
        </w:tc>
        <w:tc>
          <w:tcPr>
            <w:tcW w:w="26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1.11%</w:t>
            </w:r>
          </w:p>
        </w:tc>
        <w:tc>
          <w:tcPr>
            <w:tcW w:w="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1.16%</w:t>
            </w:r>
          </w:p>
        </w:tc>
        <w:tc>
          <w:tcPr>
            <w:tcW w:w="28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2.08%</w:t>
            </w:r>
          </w:p>
        </w:tc>
        <w:tc>
          <w:tcPr>
            <w:tcW w:w="0" w:type="dxa"/>
            <w:vAlign w:val="bottom"/>
          </w:tcPr>
          <w:p>
            <w:pPr>
              <w:spacing w:after="0"/>
              <w:rPr>
                <w:sz w:val="1"/>
                <w:szCs w:val="1"/>
                <w:color w:val="auto"/>
              </w:rPr>
            </w:pPr>
          </w:p>
        </w:tc>
      </w:tr>
      <w:tr>
        <w:trPr>
          <w:trHeight w:val="205"/>
        </w:trPr>
        <w:tc>
          <w:tcPr>
            <w:tcW w:w="4040" w:type="dxa"/>
            <w:vAlign w:val="bottom"/>
            <w:gridSpan w:val="2"/>
          </w:tcPr>
          <w:p>
            <w:pPr>
              <w:spacing w:after="0" w:line="206" w:lineRule="exact"/>
              <w:rPr>
                <w:sz w:val="20"/>
                <w:szCs w:val="20"/>
                <w:color w:val="auto"/>
              </w:rPr>
            </w:pPr>
            <w:r>
              <w:rPr>
                <w:rFonts w:ascii="Arial" w:cs="Arial" w:eastAsia="Arial" w:hAnsi="Arial"/>
                <w:sz w:val="18"/>
                <w:szCs w:val="18"/>
                <w:color w:val="auto"/>
              </w:rPr>
              <w:t>Total allowance for losses to Commercial Portfolio</w:t>
            </w:r>
          </w:p>
        </w:tc>
        <w:tc>
          <w:tcPr>
            <w:tcW w:w="260" w:type="dxa"/>
            <w:vAlign w:val="bottom"/>
          </w:tcPr>
          <w:p>
            <w:pPr>
              <w:spacing w:after="0"/>
              <w:rPr>
                <w:sz w:val="17"/>
                <w:szCs w:val="17"/>
                <w:color w:val="auto"/>
              </w:rPr>
            </w:pPr>
          </w:p>
        </w:tc>
        <w:tc>
          <w:tcPr>
            <w:tcW w:w="1180" w:type="dxa"/>
            <w:vAlign w:val="bottom"/>
            <w:gridSpan w:val="2"/>
            <w:vMerge w:val="restart"/>
          </w:tcPr>
          <w:p>
            <w:pPr>
              <w:jc w:val="right"/>
              <w:ind w:right="60"/>
              <w:spacing w:after="0"/>
              <w:rPr>
                <w:sz w:val="20"/>
                <w:szCs w:val="20"/>
                <w:color w:val="auto"/>
              </w:rPr>
            </w:pPr>
            <w:r>
              <w:rPr>
                <w:rFonts w:ascii="Arial" w:cs="Arial" w:eastAsia="Arial" w:hAnsi="Arial"/>
                <w:sz w:val="18"/>
                <w:szCs w:val="18"/>
                <w:color w:val="auto"/>
              </w:rPr>
              <w:t>1.67%</w:t>
            </w:r>
          </w:p>
        </w:tc>
        <w:tc>
          <w:tcPr>
            <w:tcW w:w="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4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rPr>
              <w:t>2.26%</w:t>
            </w:r>
          </w:p>
        </w:tc>
        <w:tc>
          <w:tcPr>
            <w:tcW w:w="260" w:type="dxa"/>
            <w:vAlign w:val="bottom"/>
          </w:tcPr>
          <w:p>
            <w:pPr>
              <w:spacing w:after="0"/>
              <w:rPr>
                <w:sz w:val="17"/>
                <w:szCs w:val="17"/>
                <w:color w:val="auto"/>
              </w:rPr>
            </w:pPr>
          </w:p>
        </w:tc>
        <w:tc>
          <w:tcPr>
            <w:tcW w:w="1160" w:type="dxa"/>
            <w:vAlign w:val="bottom"/>
            <w:gridSpan w:val="2"/>
            <w:vMerge w:val="restart"/>
          </w:tcPr>
          <w:p>
            <w:pPr>
              <w:jc w:val="right"/>
              <w:ind w:right="60"/>
              <w:spacing w:after="0"/>
              <w:rPr>
                <w:sz w:val="20"/>
                <w:szCs w:val="20"/>
                <w:color w:val="auto"/>
              </w:rPr>
            </w:pPr>
            <w:r>
              <w:rPr>
                <w:rFonts w:ascii="Arial" w:cs="Arial" w:eastAsia="Arial" w:hAnsi="Arial"/>
                <w:sz w:val="18"/>
                <w:szCs w:val="18"/>
                <w:color w:val="auto"/>
              </w:rPr>
              <w:t>1.67%</w:t>
            </w:r>
          </w:p>
        </w:tc>
        <w:tc>
          <w:tcPr>
            <w:tcW w:w="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22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rPr>
              <w:t>1.70%</w:t>
            </w:r>
          </w:p>
        </w:tc>
        <w:tc>
          <w:tcPr>
            <w:tcW w:w="280" w:type="dxa"/>
            <w:vAlign w:val="bottom"/>
          </w:tcPr>
          <w:p>
            <w:pPr>
              <w:spacing w:after="0"/>
              <w:rPr>
                <w:sz w:val="17"/>
                <w:szCs w:val="17"/>
                <w:color w:val="auto"/>
              </w:rPr>
            </w:pPr>
          </w:p>
        </w:tc>
        <w:tc>
          <w:tcPr>
            <w:tcW w:w="1120" w:type="dxa"/>
            <w:vAlign w:val="bottom"/>
            <w:gridSpan w:val="2"/>
            <w:vMerge w:val="restart"/>
          </w:tcPr>
          <w:p>
            <w:pPr>
              <w:jc w:val="right"/>
              <w:ind w:right="20"/>
              <w:spacing w:after="0"/>
              <w:rPr>
                <w:sz w:val="20"/>
                <w:szCs w:val="20"/>
                <w:color w:val="auto"/>
              </w:rPr>
            </w:pPr>
            <w:r>
              <w:rPr>
                <w:rFonts w:ascii="Arial" w:cs="Arial" w:eastAsia="Arial" w:hAnsi="Arial"/>
                <w:sz w:val="18"/>
                <w:szCs w:val="18"/>
                <w:color w:val="auto"/>
              </w:rPr>
              <w:t>2.26%</w:t>
            </w:r>
          </w:p>
        </w:tc>
        <w:tc>
          <w:tcPr>
            <w:tcW w:w="0" w:type="dxa"/>
            <w:vAlign w:val="bottom"/>
          </w:tcPr>
          <w:p>
            <w:pPr>
              <w:spacing w:after="0"/>
              <w:rPr>
                <w:sz w:val="1"/>
                <w:szCs w:val="1"/>
                <w:color w:val="auto"/>
              </w:rPr>
            </w:pPr>
          </w:p>
        </w:tc>
      </w:tr>
      <w:tr>
        <w:trPr>
          <w:trHeight w:val="213"/>
        </w:trPr>
        <w:tc>
          <w:tcPr>
            <w:tcW w:w="3920" w:type="dxa"/>
            <w:vAlign w:val="bottom"/>
          </w:tcPr>
          <w:p>
            <w:pPr>
              <w:spacing w:after="0"/>
              <w:rPr>
                <w:sz w:val="20"/>
                <w:szCs w:val="20"/>
                <w:color w:val="auto"/>
              </w:rPr>
            </w:pPr>
            <w:r>
              <w:rPr>
                <w:rFonts w:ascii="Arial" w:cs="Arial" w:eastAsia="Arial" w:hAnsi="Arial"/>
                <w:sz w:val="15"/>
                <w:szCs w:val="15"/>
                <w:color w:val="auto"/>
              </w:rPr>
              <w:t>(11)</w:t>
            </w:r>
          </w:p>
        </w:tc>
        <w:tc>
          <w:tcPr>
            <w:tcW w:w="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gridSpan w:val="2"/>
            <w:vMerge w:val="continue"/>
          </w:tcPr>
          <w:p>
            <w:pPr>
              <w:spacing w:after="0"/>
              <w:rPr>
                <w:sz w:val="18"/>
                <w:szCs w:val="18"/>
                <w:color w:val="auto"/>
              </w:rPr>
            </w:pP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gridSpan w:val="2"/>
            <w:vMerge w:val="continue"/>
          </w:tcPr>
          <w:p>
            <w:pPr>
              <w:spacing w:after="0"/>
              <w:rPr>
                <w:sz w:val="18"/>
                <w:szCs w:val="18"/>
                <w:color w:val="auto"/>
              </w:rPr>
            </w:pPr>
          </w:p>
        </w:tc>
        <w:tc>
          <w:tcPr>
            <w:tcW w:w="260" w:type="dxa"/>
            <w:vAlign w:val="bottom"/>
          </w:tcPr>
          <w:p>
            <w:pPr>
              <w:spacing w:after="0"/>
              <w:rPr>
                <w:sz w:val="18"/>
                <w:szCs w:val="18"/>
                <w:color w:val="auto"/>
              </w:rPr>
            </w:pPr>
          </w:p>
        </w:tc>
        <w:tc>
          <w:tcPr>
            <w:tcW w:w="1160" w:type="dxa"/>
            <w:vAlign w:val="bottom"/>
            <w:gridSpan w:val="2"/>
            <w:vMerge w:val="continue"/>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20" w:type="dxa"/>
            <w:vAlign w:val="bottom"/>
            <w:gridSpan w:val="2"/>
            <w:vMerge w:val="continue"/>
          </w:tcPr>
          <w:p>
            <w:pPr>
              <w:spacing w:after="0"/>
              <w:rPr>
                <w:sz w:val="18"/>
                <w:szCs w:val="18"/>
                <w:color w:val="auto"/>
              </w:rPr>
            </w:pPr>
          </w:p>
        </w:tc>
        <w:tc>
          <w:tcPr>
            <w:tcW w:w="280" w:type="dxa"/>
            <w:vAlign w:val="bottom"/>
          </w:tcPr>
          <w:p>
            <w:pPr>
              <w:spacing w:after="0"/>
              <w:rPr>
                <w:sz w:val="18"/>
                <w:szCs w:val="18"/>
                <w:color w:val="auto"/>
              </w:rPr>
            </w:pPr>
          </w:p>
        </w:tc>
        <w:tc>
          <w:tcPr>
            <w:tcW w:w="1120" w:type="dxa"/>
            <w:vAlign w:val="bottom"/>
            <w:gridSpan w:val="2"/>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05"/>
        </w:trPr>
        <w:tc>
          <w:tcPr>
            <w:tcW w:w="4040" w:type="dxa"/>
            <w:vAlign w:val="bottom"/>
            <w:gridSpan w:val="2"/>
            <w:shd w:val="clear" w:color="auto" w:fill="CCEEFF"/>
          </w:tcPr>
          <w:p>
            <w:pPr>
              <w:spacing w:after="0" w:line="206" w:lineRule="exact"/>
              <w:rPr>
                <w:sz w:val="20"/>
                <w:szCs w:val="20"/>
                <w:color w:val="auto"/>
              </w:rPr>
            </w:pPr>
            <w:r>
              <w:rPr>
                <w:rFonts w:ascii="Arial" w:cs="Arial" w:eastAsia="Arial" w:hAnsi="Arial"/>
                <w:sz w:val="18"/>
                <w:szCs w:val="18"/>
                <w:color w:val="auto"/>
              </w:rPr>
              <w:t>Total allowance for losses to credit-impaired loans</w:t>
            </w:r>
          </w:p>
        </w:tc>
        <w:tc>
          <w:tcPr>
            <w:tcW w:w="2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67"/>
        </w:trPr>
        <w:tc>
          <w:tcPr>
            <w:tcW w:w="4040" w:type="dxa"/>
            <w:vAlign w:val="bottom"/>
            <w:gridSpan w:val="2"/>
            <w:shd w:val="clear" w:color="auto" w:fill="CCEEFF"/>
          </w:tcPr>
          <w:p>
            <w:pPr>
              <w:spacing w:after="0" w:line="266" w:lineRule="exact"/>
              <w:rPr>
                <w:sz w:val="20"/>
                <w:szCs w:val="20"/>
                <w:color w:val="auto"/>
              </w:rPr>
            </w:pPr>
            <w:r>
              <w:rPr>
                <w:rFonts w:ascii="Arial" w:cs="Arial" w:eastAsia="Arial" w:hAnsi="Arial"/>
                <w:sz w:val="18"/>
                <w:szCs w:val="18"/>
                <w:color w:val="auto"/>
              </w:rPr>
              <w:t xml:space="preserve">(times) </w:t>
            </w:r>
            <w:r>
              <w:rPr>
                <w:rFonts w:ascii="Arial" w:cs="Arial" w:eastAsia="Arial" w:hAnsi="Arial"/>
                <w:sz w:val="30"/>
                <w:szCs w:val="30"/>
                <w:color w:val="auto"/>
                <w:vertAlign w:val="superscript"/>
              </w:rPr>
              <w:t>(11)</w:t>
            </w:r>
          </w:p>
        </w:tc>
        <w:tc>
          <w:tcPr>
            <w:tcW w:w="260" w:type="dxa"/>
            <w:vAlign w:val="bottom"/>
            <w:shd w:val="clear" w:color="auto" w:fill="CCEEFF"/>
          </w:tcPr>
          <w:p>
            <w:pPr>
              <w:spacing w:after="0"/>
              <w:rPr>
                <w:sz w:val="23"/>
                <w:szCs w:val="23"/>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w:t>
            </w:r>
          </w:p>
        </w:tc>
        <w:tc>
          <w:tcPr>
            <w:tcW w:w="60" w:type="dxa"/>
            <w:vAlign w:val="bottom"/>
            <w:shd w:val="clear" w:color="auto" w:fill="CCEEFF"/>
          </w:tcPr>
          <w:p>
            <w:pPr>
              <w:spacing w:after="0"/>
              <w:rPr>
                <w:sz w:val="23"/>
                <w:szCs w:val="23"/>
                <w:color w:val="auto"/>
              </w:rPr>
            </w:pPr>
          </w:p>
        </w:tc>
        <w:tc>
          <w:tcPr>
            <w:tcW w:w="260" w:type="dxa"/>
            <w:vAlign w:val="bottom"/>
            <w:shd w:val="clear" w:color="auto" w:fill="CCEEFF"/>
          </w:tcPr>
          <w:p>
            <w:pPr>
              <w:spacing w:after="0"/>
              <w:rPr>
                <w:sz w:val="23"/>
                <w:szCs w:val="23"/>
                <w:color w:val="auto"/>
              </w:rPr>
            </w:pPr>
          </w:p>
        </w:tc>
        <w:tc>
          <w:tcPr>
            <w:tcW w:w="12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1.2</w:t>
            </w:r>
          </w:p>
        </w:tc>
        <w:tc>
          <w:tcPr>
            <w:tcW w:w="260" w:type="dxa"/>
            <w:vAlign w:val="bottom"/>
            <w:shd w:val="clear" w:color="auto" w:fill="CCEEFF"/>
          </w:tcPr>
          <w:p>
            <w:pPr>
              <w:spacing w:after="0"/>
              <w:rPr>
                <w:sz w:val="23"/>
                <w:szCs w:val="23"/>
                <w:color w:val="auto"/>
              </w:rPr>
            </w:pP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w:t>
            </w:r>
          </w:p>
        </w:tc>
        <w:tc>
          <w:tcPr>
            <w:tcW w:w="60" w:type="dxa"/>
            <w:vAlign w:val="bottom"/>
            <w:shd w:val="clear" w:color="auto" w:fill="CCEEFF"/>
          </w:tcPr>
          <w:p>
            <w:pPr>
              <w:spacing w:after="0"/>
              <w:rPr>
                <w:sz w:val="23"/>
                <w:szCs w:val="23"/>
                <w:color w:val="auto"/>
              </w:rPr>
            </w:pPr>
          </w:p>
        </w:tc>
        <w:tc>
          <w:tcPr>
            <w:tcW w:w="280" w:type="dxa"/>
            <w:vAlign w:val="bottom"/>
            <w:shd w:val="clear" w:color="auto" w:fill="CCEEFF"/>
          </w:tcPr>
          <w:p>
            <w:pPr>
              <w:spacing w:after="0"/>
              <w:rPr>
                <w:sz w:val="23"/>
                <w:szCs w:val="23"/>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260" w:type="dxa"/>
            <w:vAlign w:val="bottom"/>
            <w:shd w:val="clear" w:color="auto" w:fill="CCEEFF"/>
          </w:tcPr>
          <w:p>
            <w:pPr>
              <w:spacing w:after="0"/>
              <w:rPr>
                <w:sz w:val="23"/>
                <w:szCs w:val="23"/>
                <w:color w:val="auto"/>
              </w:rPr>
            </w:pPr>
          </w:p>
        </w:tc>
        <w:tc>
          <w:tcPr>
            <w:tcW w:w="280" w:type="dxa"/>
            <w:vAlign w:val="bottom"/>
            <w:shd w:val="clear" w:color="auto" w:fill="CCEEFF"/>
          </w:tcPr>
          <w:p>
            <w:pPr>
              <w:spacing w:after="0"/>
              <w:rPr>
                <w:sz w:val="23"/>
                <w:szCs w:val="23"/>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w:t>
            </w:r>
          </w:p>
        </w:tc>
        <w:tc>
          <w:tcPr>
            <w:tcW w:w="0" w:type="dxa"/>
            <w:vAlign w:val="bottom"/>
          </w:tcPr>
          <w:p>
            <w:pPr>
              <w:spacing w:after="0"/>
              <w:rPr>
                <w:sz w:val="1"/>
                <w:szCs w:val="1"/>
                <w:color w:val="auto"/>
              </w:rPr>
            </w:pP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3Q19 &amp; 9M19 Highlights</w:t>
      </w:r>
    </w:p>
    <w:p>
      <w:pPr>
        <w:spacing w:after="0" w:line="256" w:lineRule="exact"/>
        <w:rPr>
          <w:sz w:val="20"/>
          <w:szCs w:val="20"/>
          <w:color w:val="auto"/>
        </w:rPr>
      </w:pPr>
    </w:p>
    <w:p>
      <w:pPr>
        <w:jc w:val="both"/>
        <w:ind w:left="380" w:right="60" w:hanging="318"/>
        <w:spacing w:after="0" w:line="264" w:lineRule="auto"/>
        <w:tabs>
          <w:tab w:leader="none" w:pos="380" w:val="left"/>
        </w:tabs>
        <w:numPr>
          <w:ilvl w:val="0"/>
          <w:numId w:val="1"/>
        </w:numPr>
        <w:rPr>
          <w:rFonts w:ascii="Arial" w:cs="Arial" w:eastAsia="Arial" w:hAnsi="Arial"/>
          <w:sz w:val="18"/>
          <w:szCs w:val="18"/>
          <w:color w:val="auto"/>
        </w:rPr>
      </w:pPr>
      <w:r>
        <w:rPr>
          <w:rFonts w:ascii="Arial" w:cs="Arial" w:eastAsia="Arial" w:hAnsi="Arial"/>
          <w:sz w:val="18"/>
          <w:szCs w:val="18"/>
          <w:color w:val="auto"/>
        </w:rPr>
        <w:t>Bladex’s quarterly profit of $20.4 million in 3Q19 was 150% higher YoY, attributable to lower impairment losses on financial instruments and other assets, along with lower operating expenses. The 8% profit decrease QoQ was mainly driven by lower structuring and syndication fees as well as Net Interest Income (“NII”).</w:t>
      </w:r>
    </w:p>
    <w:p>
      <w:pPr>
        <w:spacing w:after="0" w:line="181" w:lineRule="exact"/>
        <w:rPr>
          <w:rFonts w:ascii="Arial" w:cs="Arial" w:eastAsia="Arial" w:hAnsi="Arial"/>
          <w:sz w:val="18"/>
          <w:szCs w:val="18"/>
          <w:color w:val="auto"/>
        </w:rPr>
      </w:pPr>
    </w:p>
    <w:p>
      <w:pPr>
        <w:ind w:left="380" w:right="60" w:hanging="318"/>
        <w:spacing w:after="0" w:line="277" w:lineRule="auto"/>
        <w:tabs>
          <w:tab w:leader="none" w:pos="380" w:val="left"/>
        </w:tabs>
        <w:numPr>
          <w:ilvl w:val="0"/>
          <w:numId w:val="1"/>
        </w:numPr>
        <w:rPr>
          <w:rFonts w:ascii="Arial" w:cs="Arial" w:eastAsia="Arial" w:hAnsi="Arial"/>
          <w:sz w:val="18"/>
          <w:szCs w:val="18"/>
          <w:color w:val="auto"/>
        </w:rPr>
      </w:pPr>
      <w:r>
        <w:rPr>
          <w:rFonts w:ascii="Arial" w:cs="Arial" w:eastAsia="Arial" w:hAnsi="Arial"/>
          <w:sz w:val="18"/>
          <w:szCs w:val="18"/>
          <w:color w:val="auto"/>
        </w:rPr>
        <w:t>Profit for the 9M19 was $64.0 million, compared to a $9.6 million loss for 9M18, primarily resulting from lower impairment losses, improved performance in top line revenues (+2% YoY) and lower operating expenses (-20% YoY).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774"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157480</wp:posOffset>
            </wp:positionH>
            <wp:positionV relativeFrom="page">
              <wp:posOffset>586105</wp:posOffset>
            </wp:positionV>
            <wp:extent cx="7289165" cy="13722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7289165" cy="13722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both"/>
        <w:ind w:left="380" w:right="60" w:hanging="318"/>
        <w:spacing w:after="0" w:line="264" w:lineRule="auto"/>
        <w:tabs>
          <w:tab w:leader="none" w:pos="380" w:val="left"/>
        </w:tabs>
        <w:numPr>
          <w:ilvl w:val="0"/>
          <w:numId w:val="2"/>
        </w:numPr>
        <w:rPr>
          <w:rFonts w:ascii="Arial" w:cs="Arial" w:eastAsia="Arial" w:hAnsi="Arial"/>
          <w:sz w:val="18"/>
          <w:szCs w:val="18"/>
          <w:color w:val="auto"/>
        </w:rPr>
      </w:pPr>
      <w:r>
        <w:rPr>
          <w:rFonts w:ascii="Arial" w:cs="Arial" w:eastAsia="Arial" w:hAnsi="Arial"/>
          <w:sz w:val="18"/>
          <w:szCs w:val="18"/>
          <w:color w:val="auto"/>
        </w:rPr>
        <w:t>NII totaled $26.7 million for the 3Q19 (-5% QoQ; -2% YoY), with Net Interest Margin (“NIM”) of 1.77% (-4bps QoQ; +3bps YoY). Quarterly decrease was mainly due to the Bank’s asset-liability interest rate gap position and lower average lending volumes. NII and NIM for 9M19 reached $82.6 million and 1.77%, respectively, a 1% and 3bps increase YoY.</w:t>
      </w:r>
    </w:p>
    <w:p>
      <w:pPr>
        <w:spacing w:after="0" w:line="181" w:lineRule="exact"/>
        <w:rPr>
          <w:rFonts w:ascii="Arial" w:cs="Arial" w:eastAsia="Arial" w:hAnsi="Arial"/>
          <w:sz w:val="18"/>
          <w:szCs w:val="18"/>
          <w:color w:val="auto"/>
        </w:rPr>
      </w:pPr>
    </w:p>
    <w:p>
      <w:pPr>
        <w:ind w:left="380" w:right="60" w:hanging="318"/>
        <w:spacing w:after="0" w:line="308" w:lineRule="auto"/>
        <w:tabs>
          <w:tab w:leader="none" w:pos="380" w:val="left"/>
        </w:tabs>
        <w:numPr>
          <w:ilvl w:val="0"/>
          <w:numId w:val="2"/>
        </w:numPr>
        <w:rPr>
          <w:rFonts w:ascii="Arial" w:cs="Arial" w:eastAsia="Arial" w:hAnsi="Arial"/>
          <w:sz w:val="17"/>
          <w:szCs w:val="17"/>
          <w:color w:val="auto"/>
        </w:rPr>
      </w:pPr>
      <w:r>
        <w:rPr>
          <w:rFonts w:ascii="Arial" w:cs="Arial" w:eastAsia="Arial" w:hAnsi="Arial"/>
          <w:sz w:val="17"/>
          <w:szCs w:val="17"/>
          <w:color w:val="auto"/>
        </w:rPr>
        <w:t>Fees and commissions income totaled $2.8 million in 3Q19 and $10.3 million for the 9M19. Quarterly decreases were primarily related to the uneven nature of the syndication business. The 13% decrease YoY was the result of lower fee income from the letters of credit business.</w:t>
      </w:r>
    </w:p>
    <w:p>
      <w:pPr>
        <w:spacing w:after="0" w:line="146" w:lineRule="exact"/>
        <w:rPr>
          <w:rFonts w:ascii="Arial" w:cs="Arial" w:eastAsia="Arial" w:hAnsi="Arial"/>
          <w:sz w:val="17"/>
          <w:szCs w:val="17"/>
          <w:color w:val="auto"/>
        </w:rPr>
      </w:pPr>
    </w:p>
    <w:p>
      <w:pPr>
        <w:jc w:val="both"/>
        <w:ind w:left="380" w:right="60" w:hanging="318"/>
        <w:spacing w:after="0" w:line="264" w:lineRule="auto"/>
        <w:tabs>
          <w:tab w:leader="none" w:pos="380" w:val="left"/>
        </w:tabs>
        <w:numPr>
          <w:ilvl w:val="0"/>
          <w:numId w:val="2"/>
        </w:numPr>
        <w:rPr>
          <w:rFonts w:ascii="Arial" w:cs="Arial" w:eastAsia="Arial" w:hAnsi="Arial"/>
          <w:sz w:val="18"/>
          <w:szCs w:val="18"/>
          <w:color w:val="auto"/>
        </w:rPr>
      </w:pPr>
      <w:r>
        <w:rPr>
          <w:rFonts w:ascii="Arial" w:cs="Arial" w:eastAsia="Arial" w:hAnsi="Arial"/>
          <w:sz w:val="18"/>
          <w:szCs w:val="18"/>
          <w:color w:val="auto"/>
        </w:rPr>
        <w:t>Efficiency Ratio improved to 30% in 3Q19 (-1pt. QoQ; -6pts. YoY) and 31% for 9M19 (-8pts. YoY), as operating expenses decreased to $9.0 million in 3Q19 (-15% QoQ; -17% YoY) and to $29.4 million in 9M19 (-20% YoY). The reduction YoY was mainly due to lower salaries and other personnel-related expenses, together with other cost savings.</w:t>
      </w:r>
    </w:p>
    <w:p>
      <w:pPr>
        <w:spacing w:after="0" w:line="181" w:lineRule="exact"/>
        <w:rPr>
          <w:rFonts w:ascii="Arial" w:cs="Arial" w:eastAsia="Arial" w:hAnsi="Arial"/>
          <w:sz w:val="18"/>
          <w:szCs w:val="18"/>
          <w:color w:val="auto"/>
        </w:rPr>
      </w:pPr>
    </w:p>
    <w:p>
      <w:pPr>
        <w:ind w:left="380" w:right="60" w:hanging="318"/>
        <w:spacing w:after="0" w:line="342" w:lineRule="auto"/>
        <w:tabs>
          <w:tab w:leader="none" w:pos="380" w:val="left"/>
        </w:tabs>
        <w:numPr>
          <w:ilvl w:val="0"/>
          <w:numId w:val="2"/>
        </w:numPr>
        <w:rPr>
          <w:rFonts w:ascii="Arial" w:cs="Arial" w:eastAsia="Arial" w:hAnsi="Arial"/>
          <w:sz w:val="16"/>
          <w:szCs w:val="16"/>
          <w:color w:val="auto"/>
        </w:rPr>
      </w:pPr>
      <w:r>
        <w:rPr>
          <w:rFonts w:ascii="Arial" w:cs="Arial" w:eastAsia="Arial" w:hAnsi="Arial"/>
          <w:sz w:val="16"/>
          <w:szCs w:val="16"/>
          <w:color w:val="auto"/>
        </w:rPr>
        <w:t>3Q19 and 9M19 annualized Return on Average Equity (“ROAE”) were 8.0% and 8.5%, respectively. The Bank’s capitalization remained solid with a Tier 1 Basel III Capital Ratio of 21.1%, on higher asset quality allocation and a shift to a lower country risk mix exposure in our Commercial Portfolio.</w:t>
      </w:r>
    </w:p>
    <w:p>
      <w:pPr>
        <w:spacing w:after="0" w:line="123" w:lineRule="exact"/>
        <w:rPr>
          <w:rFonts w:ascii="Arial" w:cs="Arial" w:eastAsia="Arial" w:hAnsi="Arial"/>
          <w:sz w:val="16"/>
          <w:szCs w:val="16"/>
          <w:color w:val="auto"/>
        </w:rPr>
      </w:pPr>
    </w:p>
    <w:p>
      <w:pPr>
        <w:jc w:val="both"/>
        <w:ind w:left="380" w:right="60" w:hanging="318"/>
        <w:spacing w:after="0" w:line="264" w:lineRule="auto"/>
        <w:tabs>
          <w:tab w:leader="none" w:pos="380" w:val="left"/>
        </w:tabs>
        <w:numPr>
          <w:ilvl w:val="0"/>
          <w:numId w:val="2"/>
        </w:numPr>
        <w:rPr>
          <w:rFonts w:ascii="Arial" w:cs="Arial" w:eastAsia="Arial" w:hAnsi="Arial"/>
          <w:sz w:val="18"/>
          <w:szCs w:val="18"/>
          <w:color w:val="auto"/>
        </w:rPr>
      </w:pPr>
      <w:r>
        <w:rPr>
          <w:rFonts w:ascii="Arial" w:cs="Arial" w:eastAsia="Arial" w:hAnsi="Arial"/>
          <w:sz w:val="18"/>
          <w:szCs w:val="18"/>
          <w:color w:val="auto"/>
        </w:rPr>
        <w:t>Credit-impaired Loans, also referred to as Non-Performing Loans or NPL, decreased to $61.8 million at the end of 3Q19, representing 1.1% of total Loan Portfolio balances. 3Q19 NPL levels compare to $64.7 million, or 1.2% of total Loan Portfolio at the end of 2Q19, and to $119.0 million, or 2.1%, at the end of 3Q18. Total allowance for credit losses increased to 1.7 times NPL balances for 3Q19.</w:t>
      </w:r>
    </w:p>
    <w:p>
      <w:pPr>
        <w:spacing w:after="0" w:line="181" w:lineRule="exact"/>
        <w:rPr>
          <w:rFonts w:ascii="Arial" w:cs="Arial" w:eastAsia="Arial" w:hAnsi="Arial"/>
          <w:sz w:val="18"/>
          <w:szCs w:val="18"/>
          <w:color w:val="auto"/>
        </w:rPr>
      </w:pPr>
    </w:p>
    <w:p>
      <w:pPr>
        <w:ind w:left="380" w:right="60" w:hanging="318"/>
        <w:spacing w:after="0" w:line="277" w:lineRule="auto"/>
        <w:tabs>
          <w:tab w:leader="none" w:pos="380" w:val="left"/>
        </w:tabs>
        <w:numPr>
          <w:ilvl w:val="0"/>
          <w:numId w:val="2"/>
        </w:numPr>
        <w:rPr>
          <w:rFonts w:ascii="Arial" w:cs="Arial" w:eastAsia="Arial" w:hAnsi="Arial"/>
          <w:sz w:val="18"/>
          <w:szCs w:val="18"/>
          <w:color w:val="auto"/>
        </w:rPr>
      </w:pPr>
      <w:r>
        <w:rPr>
          <w:rFonts w:ascii="Arial" w:cs="Arial" w:eastAsia="Arial" w:hAnsi="Arial"/>
          <w:sz w:val="18"/>
          <w:szCs w:val="18"/>
          <w:color w:val="auto"/>
        </w:rPr>
        <w:t>End-of-period Commercial Portfolio balances remained stable QoQ at $6.2 billion at the end of 3Q19 (-1% YoY). Average balances were $6.0 billion for the 9M19 (stable YoY) and $5.9 million for the 3Q19 (-2% QoQ and YoY).</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56" w:lineRule="exact"/>
        <w:rPr>
          <w:sz w:val="20"/>
          <w:szCs w:val="20"/>
          <w:color w:val="auto"/>
        </w:rPr>
      </w:pPr>
    </w:p>
    <w:p>
      <w:pPr>
        <w:jc w:val="both"/>
        <w:ind w:right="100"/>
        <w:spacing w:after="0" w:line="264" w:lineRule="auto"/>
        <w:rPr>
          <w:sz w:val="20"/>
          <w:szCs w:val="20"/>
          <w:color w:val="auto"/>
        </w:rPr>
      </w:pPr>
      <w:r>
        <w:rPr>
          <w:rFonts w:ascii="Arial" w:cs="Arial" w:eastAsia="Arial" w:hAnsi="Arial"/>
          <w:sz w:val="18"/>
          <w:szCs w:val="18"/>
          <w:color w:val="auto"/>
        </w:rPr>
        <w:t>Mr. N. Gabriel Tolchinsky, Bladex’s Chief Executive Officer said, “</w:t>
      </w:r>
      <w:r>
        <w:rPr>
          <w:rFonts w:ascii="Arial" w:cs="Arial" w:eastAsia="Arial" w:hAnsi="Arial"/>
          <w:sz w:val="18"/>
          <w:szCs w:val="18"/>
          <w:i w:val="1"/>
          <w:iCs w:val="1"/>
          <w:color w:val="auto"/>
        </w:rPr>
        <w:t>The global economy in 2019 is on course for its weakest year of growth since the</w:t>
      </w:r>
      <w:r>
        <w:rPr>
          <w:rFonts w:ascii="Arial" w:cs="Arial" w:eastAsia="Arial" w:hAnsi="Arial"/>
          <w:sz w:val="18"/>
          <w:szCs w:val="18"/>
          <w:color w:val="auto"/>
        </w:rPr>
        <w:t xml:space="preserve"> </w:t>
      </w:r>
      <w:r>
        <w:rPr>
          <w:rFonts w:ascii="Arial" w:cs="Arial" w:eastAsia="Arial" w:hAnsi="Arial"/>
          <w:sz w:val="18"/>
          <w:szCs w:val="18"/>
          <w:i w:val="1"/>
          <w:iCs w:val="1"/>
          <w:color w:val="auto"/>
        </w:rPr>
        <w:t>financial crisis, weighed down by tensions that have significantly slowed international trade. Given this macroeconomic context, we are, once again, downgrading our economic and trade growth expectations for Latin America, for both 2019 and 2020.</w:t>
      </w:r>
    </w:p>
    <w:p>
      <w:pPr>
        <w:spacing w:after="0" w:line="181" w:lineRule="exact"/>
        <w:rPr>
          <w:sz w:val="20"/>
          <w:szCs w:val="20"/>
          <w:color w:val="auto"/>
        </w:rPr>
      </w:pPr>
    </w:p>
    <w:p>
      <w:pPr>
        <w:jc w:val="both"/>
        <w:ind w:right="80"/>
        <w:spacing w:after="0" w:line="255" w:lineRule="auto"/>
        <w:rPr>
          <w:sz w:val="20"/>
          <w:szCs w:val="20"/>
          <w:color w:val="auto"/>
        </w:rPr>
      </w:pPr>
      <w:r>
        <w:rPr>
          <w:rFonts w:ascii="Arial" w:cs="Arial" w:eastAsia="Arial" w:hAnsi="Arial"/>
          <w:sz w:val="18"/>
          <w:szCs w:val="18"/>
          <w:i w:val="1"/>
          <w:iCs w:val="1"/>
          <w:color w:val="auto"/>
        </w:rPr>
        <w:t>Today, we are expecting 0.2% economic growth for the Region - down from 0.6% at the end of the second quarter. Trade is expected to grow just 1.0% - down from 2.6% growth we were expecting at the end of the second quarter. But these tepid growth prospects mask significant disparities in economic performance between countries. Large countries like Mexico and Argentina are experiencing uncertainty that has some of its roots in lower foreign investment flows which are a key driver of economic growth. On the other hand, countries like Colombia and Brazil are experiencing a pick-up in consumer demand that is supporting their economies despite low commodity prices and weak international trade. In other words, slow or no growth in the developed world, which have resulted from protectionist measures on trade, and commodity prices, are having an uneven impact on the Region. Some countries are better prepared to withstand the prevailing environment.</w:t>
      </w:r>
    </w:p>
    <w:p>
      <w:pPr>
        <w:spacing w:after="0" w:line="189" w:lineRule="exact"/>
        <w:rPr>
          <w:sz w:val="20"/>
          <w:szCs w:val="20"/>
          <w:color w:val="auto"/>
        </w:rPr>
      </w:pPr>
    </w:p>
    <w:p>
      <w:pPr>
        <w:jc w:val="both"/>
        <w:ind w:right="100"/>
        <w:spacing w:after="0" w:line="277" w:lineRule="auto"/>
        <w:rPr>
          <w:sz w:val="20"/>
          <w:szCs w:val="20"/>
          <w:color w:val="auto"/>
        </w:rPr>
      </w:pPr>
      <w:r>
        <w:rPr>
          <w:rFonts w:ascii="Arial" w:cs="Arial" w:eastAsia="Arial" w:hAnsi="Arial"/>
          <w:sz w:val="18"/>
          <w:szCs w:val="18"/>
          <w:i w:val="1"/>
          <w:iCs w:val="1"/>
          <w:color w:val="auto"/>
        </w:rPr>
        <w:t>Against this backdrop, we continue to analyze the risk/reward function at the country level, to adjust our portfolio accordingly and to maintain a vigilant credit underwriting posture.</w:t>
      </w:r>
    </w:p>
    <w:p>
      <w:pPr>
        <w:spacing w:after="0" w:line="170" w:lineRule="exact"/>
        <w:rPr>
          <w:sz w:val="20"/>
          <w:szCs w:val="20"/>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Our credit portfolio is robust, with a slight decrease in credit impaired loans and a reduction in our watch list category.</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Our credit reserve coverage and Tier I capital ratio remain strong.</w:t>
      </w:r>
    </w:p>
    <w:p>
      <w:pPr>
        <w:spacing w:after="0" w:line="225"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Our book of business is solid, we are identifying new prospects, increasing share of wallet with our existing clients and structuring value-added transactions.</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Our pipeline of syndicated and structured transactions tied to Latin American integration is also solid and should help us continue to increase our medium-term loan portfolio.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426085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157480</wp:posOffset>
            </wp:positionH>
            <wp:positionV relativeFrom="page">
              <wp:posOffset>603250</wp:posOffset>
            </wp:positionV>
            <wp:extent cx="7289165" cy="13722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289165" cy="13722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i w:val="1"/>
          <w:iCs w:val="1"/>
          <w:color w:val="auto"/>
        </w:rPr>
        <w:t>On the cost side, our recurrent expenses continue to decline.</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The management of Bladex - as well as its Board of Directors - remains cautiously optimistic for our business for the remainder of 2019.</w:t>
      </w:r>
      <w:r>
        <w:rPr>
          <w:rFonts w:ascii="Arial" w:cs="Arial" w:eastAsia="Arial" w:hAnsi="Arial"/>
          <w:sz w:val="18"/>
          <w:szCs w:val="18"/>
          <w:color w:val="auto"/>
        </w:rPr>
        <w:t>”</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ind w:left="840" w:hanging="508"/>
        <w:spacing w:after="0" w:line="347" w:lineRule="auto"/>
        <w:tabs>
          <w:tab w:leader="none" w:pos="840" w:val="left"/>
        </w:tabs>
        <w:numPr>
          <w:ilvl w:val="0"/>
          <w:numId w:val="5"/>
        </w:numPr>
        <w:rPr>
          <w:rFonts w:ascii="Arial" w:cs="Arial" w:eastAsia="Arial" w:hAnsi="Arial"/>
          <w:sz w:val="16"/>
          <w:szCs w:val="16"/>
          <w:color w:val="auto"/>
        </w:rPr>
      </w:pPr>
      <w:r>
        <w:rPr>
          <w:rFonts w:ascii="Arial" w:cs="Arial" w:eastAsia="Arial" w:hAnsi="Arial"/>
          <w:sz w:val="16"/>
          <w:szCs w:val="16"/>
          <w:b w:val="1"/>
          <w:bCs w:val="1"/>
          <w:color w:val="auto"/>
        </w:rPr>
        <w:t xml:space="preserve">Quarterly dividend payment: </w:t>
      </w:r>
      <w:r>
        <w:rPr>
          <w:rFonts w:ascii="Arial" w:cs="Arial" w:eastAsia="Arial" w:hAnsi="Arial"/>
          <w:sz w:val="16"/>
          <w:szCs w:val="16"/>
          <w:color w:val="auto"/>
        </w:rPr>
        <w:t>The Bank’s Board of Directors (the “Board”) approved a quarterly common dividend of $0.385 per share</w:t>
      </w:r>
      <w:r>
        <w:rPr>
          <w:rFonts w:ascii="Arial" w:cs="Arial" w:eastAsia="Arial" w:hAnsi="Arial"/>
          <w:sz w:val="16"/>
          <w:szCs w:val="16"/>
          <w:b w:val="1"/>
          <w:bCs w:val="1"/>
          <w:color w:val="auto"/>
        </w:rPr>
        <w:t xml:space="preserve"> </w:t>
      </w:r>
      <w:r>
        <w:rPr>
          <w:rFonts w:ascii="Arial" w:cs="Arial" w:eastAsia="Arial" w:hAnsi="Arial"/>
          <w:sz w:val="16"/>
          <w:szCs w:val="16"/>
          <w:color w:val="auto"/>
        </w:rPr>
        <w:t>corresponding to the third quarter 2019. The cash dividend will be paid on November 19, 2019, to shareholders registered as of October 29, 2019.</w:t>
      </w:r>
    </w:p>
    <w:p>
      <w:pPr>
        <w:spacing w:after="0" w:line="11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9" w:lineRule="exact"/>
        <w:rPr>
          <w:sz w:val="20"/>
          <w:szCs w:val="20"/>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660" w:hanging="328"/>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7"/>
        </w:numPr>
        <w:rPr>
          <w:rFonts w:ascii="Arial" w:cs="Arial" w:eastAsia="Arial" w:hAnsi="Arial"/>
          <w:sz w:val="17"/>
          <w:szCs w:val="17"/>
          <w:color w:val="auto"/>
        </w:rPr>
      </w:pPr>
      <w:r>
        <w:rPr>
          <w:rFonts w:ascii="Arial" w:cs="Arial" w:eastAsia="Arial" w:hAnsi="Arial"/>
          <w:sz w:val="17"/>
          <w:szCs w:val="17"/>
          <w:color w:val="auto"/>
        </w:rPr>
        <w:t>NIM refers to net interest margin which constitutes to Net Interest Income (“NII”) divided by the average balance of interest-earning assets.</w:t>
      </w:r>
    </w:p>
    <w:p>
      <w:pPr>
        <w:spacing w:after="0" w:line="236" w:lineRule="exact"/>
        <w:rPr>
          <w:rFonts w:ascii="Arial" w:cs="Arial" w:eastAsia="Arial" w:hAnsi="Arial"/>
          <w:sz w:val="17"/>
          <w:szCs w:val="17"/>
          <w:color w:val="auto"/>
        </w:rPr>
      </w:pPr>
    </w:p>
    <w:p>
      <w:pPr>
        <w:ind w:left="660" w:right="80" w:hanging="328"/>
        <w:spacing w:after="0" w:line="277"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revenues.</w:t>
      </w:r>
    </w:p>
    <w:p>
      <w:pPr>
        <w:spacing w:after="0" w:line="225" w:lineRule="exact"/>
        <w:rPr>
          <w:rFonts w:ascii="Arial" w:cs="Arial" w:eastAsia="Arial" w:hAnsi="Arial"/>
          <w:sz w:val="18"/>
          <w:szCs w:val="18"/>
          <w:color w:val="auto"/>
        </w:rPr>
      </w:pPr>
    </w:p>
    <w:p>
      <w:pPr>
        <w:jc w:val="both"/>
        <w:ind w:left="660" w:right="80" w:hanging="328"/>
        <w:spacing w:after="0" w:line="264"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81" w:lineRule="exact"/>
        <w:rPr>
          <w:rFonts w:ascii="Arial" w:cs="Arial" w:eastAsia="Arial" w:hAnsi="Arial"/>
          <w:sz w:val="18"/>
          <w:szCs w:val="18"/>
          <w:color w:val="auto"/>
        </w:rPr>
      </w:pPr>
    </w:p>
    <w:p>
      <w:pPr>
        <w:ind w:left="660" w:hanging="328"/>
        <w:spacing w:after="0"/>
        <w:tabs>
          <w:tab w:leader="none" w:pos="660" w:val="left"/>
        </w:tabs>
        <w:numPr>
          <w:ilvl w:val="0"/>
          <w:numId w:val="7"/>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48" w:lineRule="exact"/>
        <w:rPr>
          <w:rFonts w:ascii="Arial" w:cs="Arial" w:eastAsia="Arial" w:hAnsi="Arial"/>
          <w:sz w:val="16"/>
          <w:szCs w:val="16"/>
          <w:color w:val="auto"/>
        </w:rPr>
      </w:pPr>
    </w:p>
    <w:p>
      <w:pPr>
        <w:jc w:val="both"/>
        <w:ind w:left="660" w:right="100" w:hanging="328"/>
        <w:spacing w:after="0" w:line="264"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Tier 1 Capital is calculated according to Basel III capital adequacy guidelines and is equivalent to stockholders’ equity excluding certain effects such as the OCI effect of the financial instruments at fair value through OCI. Tier 1 Capital ratio is calculated as a percentage of risk-weighted assets. Risk-weighted assets are estimated based on Basel III capital adequacy guidelines.</w:t>
      </w:r>
    </w:p>
    <w:p>
      <w:pPr>
        <w:spacing w:after="0" w:line="181" w:lineRule="exact"/>
        <w:rPr>
          <w:rFonts w:ascii="Arial" w:cs="Arial" w:eastAsia="Arial" w:hAnsi="Arial"/>
          <w:sz w:val="18"/>
          <w:szCs w:val="18"/>
          <w:color w:val="auto"/>
        </w:rPr>
      </w:pPr>
    </w:p>
    <w:p>
      <w:pPr>
        <w:ind w:left="660" w:right="100" w:hanging="328"/>
        <w:spacing w:after="0" w:line="277"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Liquidity ratio refers to liquid assets as a percentage of total assets.</w:t>
      </w:r>
    </w:p>
    <w:p>
      <w:pPr>
        <w:spacing w:after="0" w:line="38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157480</wp:posOffset>
            </wp:positionH>
            <wp:positionV relativeFrom="page">
              <wp:posOffset>586105</wp:posOffset>
            </wp:positionV>
            <wp:extent cx="7289165" cy="13722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7289165" cy="13722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660" w:right="100" w:hanging="328"/>
        <w:spacing w:after="0" w:line="277" w:lineRule="auto"/>
        <w:tabs>
          <w:tab w:leader="none" w:pos="660" w:val="left"/>
        </w:tabs>
        <w:numPr>
          <w:ilvl w:val="0"/>
          <w:numId w:val="8"/>
        </w:numPr>
        <w:rPr>
          <w:rFonts w:ascii="Arial" w:cs="Arial" w:eastAsia="Arial" w:hAnsi="Arial"/>
          <w:sz w:val="18"/>
          <w:szCs w:val="18"/>
          <w:color w:val="auto"/>
        </w:rPr>
      </w:pPr>
      <w:r>
        <w:rPr>
          <w:rFonts w:ascii="Arial" w:cs="Arial" w:eastAsia="Arial" w:hAnsi="Arial"/>
          <w:sz w:val="18"/>
          <w:szCs w:val="18"/>
          <w:color w:val="auto"/>
        </w:rPr>
        <w:t>Credit-impaired loans are also commonly referred to as Non-Performing Loans or NPL. Loan Portfolio refers to gross loans, excluding interest receivable, the allowance for loan losses, and unearned interest and deferred fees.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8"/>
        </w:numPr>
        <w:rPr>
          <w:rFonts w:ascii="Arial" w:cs="Arial" w:eastAsia="Arial" w:hAnsi="Arial"/>
          <w:sz w:val="17"/>
          <w:szCs w:val="17"/>
          <w:color w:val="auto"/>
        </w:rPr>
      </w:pPr>
      <w:r>
        <w:rPr>
          <w:rFonts w:ascii="Arial" w:cs="Arial" w:eastAsia="Arial" w:hAnsi="Arial"/>
          <w:sz w:val="17"/>
          <w:szCs w:val="17"/>
          <w:color w:val="auto"/>
        </w:rPr>
        <w:t>Total allowance for losses refers to allowance for loan losses plus allowance for loan commitments and financial guarantee contract losses.</w:t>
      </w:r>
    </w:p>
    <w:p>
      <w:pPr>
        <w:spacing w:after="0" w:line="23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154940</wp:posOffset>
            </wp:positionV>
            <wp:extent cx="7246620" cy="214376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2143760"/>
                    </a:xfrm>
                    <a:prstGeom prst="rect">
                      <a:avLst/>
                    </a:prstGeom>
                    <a:noFill/>
                  </pic:spPr>
                </pic:pic>
              </a:graphicData>
            </a:graphic>
          </wp:anchor>
        </w:drawing>
      </w:r>
    </w:p>
    <w:p>
      <w:pPr>
        <w:spacing w:after="0" w:line="277" w:lineRule="exact"/>
        <w:rPr>
          <w:sz w:val="20"/>
          <w:szCs w:val="20"/>
          <w:color w:val="auto"/>
        </w:rPr>
      </w:pPr>
    </w:p>
    <w:p>
      <w:pPr>
        <w:jc w:val="both"/>
        <w:ind w:left="80" w:right="60"/>
        <w:spacing w:after="0" w:line="286"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The forward-looking statements in this press release include the growth of the credit portfolio, including the trade portfolio, the increase in the number of the Bank’s corporate clients, the trend of lending spreads, changes in activities engaged in by the Bank that are derived from the Bank’s client base, anticipated operating results and return on equity in future periods, including income derived from the Treasury Business Segment, and changes in the financial and performance strength of the Bank.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We undertake no obligation to publicly update any forward-looking statement, whether as a result of new information, future developments or otherwise, except as may be required by law.</w:t>
      </w:r>
    </w:p>
    <w:p>
      <w:pPr>
        <w:spacing w:after="0" w:line="25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ind w:right="80"/>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87" w:lineRule="exact"/>
        <w:rPr>
          <w:sz w:val="20"/>
          <w:szCs w:val="20"/>
          <w:color w:val="auto"/>
        </w:rPr>
      </w:pPr>
    </w:p>
    <w:p>
      <w:pPr>
        <w:jc w:val="both"/>
        <w:ind w:right="80"/>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ind w:right="80"/>
        <w:spacing w:after="0" w:line="259" w:lineRule="auto"/>
        <w:rPr>
          <w:sz w:val="20"/>
          <w:szCs w:val="20"/>
          <w:color w:val="auto"/>
        </w:rPr>
      </w:pPr>
      <w:r>
        <w:rPr>
          <w:rFonts w:ascii="Arial" w:cs="Arial" w:eastAsia="Arial" w:hAnsi="Arial"/>
          <w:sz w:val="18"/>
          <w:szCs w:val="18"/>
          <w:color w:val="auto"/>
        </w:rPr>
        <w:t xml:space="preserve">There will be a conference call to discuss the Bank’s quarterly results on Friday, October 18, 2019 at 11:00 a.m. New York City time (Eastern Time). For those interested in participating, please dial (800) 311-9401 in the United States or, if outside the United States, (334) 323-7224. Participants should use conference ID# 8034, and dial in five minutes before the call is set to begin. There will also be a live audio webcast of the conference at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The webcast presentation will be available for viewing and downloads on </w:t>
      </w:r>
      <w:r>
        <w:rPr>
          <w:rFonts w:ascii="Arial" w:cs="Arial" w:eastAsia="Arial" w:hAnsi="Arial"/>
          <w:sz w:val="18"/>
          <w:szCs w:val="18"/>
          <w:u w:val="single" w:color="auto"/>
          <w:color w:val="auto"/>
        </w:rPr>
        <w:t>http://www.bladex.com</w:t>
      </w:r>
      <w:r>
        <w:rPr>
          <w:rFonts w:ascii="Arial" w:cs="Arial" w:eastAsia="Arial" w:hAnsi="Arial"/>
          <w:sz w:val="18"/>
          <w:szCs w:val="18"/>
          <w:color w:val="auto"/>
        </w:rPr>
        <w:t>.</w:t>
      </w:r>
    </w:p>
    <w:p>
      <w:pPr>
        <w:spacing w:after="0" w:line="200" w:lineRule="exact"/>
        <w:rPr>
          <w:sz w:val="20"/>
          <w:szCs w:val="20"/>
          <w:color w:val="auto"/>
        </w:rPr>
      </w:pPr>
    </w:p>
    <w:p>
      <w:pPr>
        <w:spacing w:after="0" w:line="20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157480</wp:posOffset>
            </wp:positionH>
            <wp:positionV relativeFrom="page">
              <wp:posOffset>586105</wp:posOffset>
            </wp:positionV>
            <wp:extent cx="7289165" cy="13722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clrChange>
                        <a:clrFrom>
                          <a:srgbClr val="FFFFFF"/>
                        </a:clrFrom>
                        <a:clrTo>
                          <a:srgbClr val="FFFFFF">
                            <a:alpha val="0"/>
                          </a:srgbClr>
                        </a:clrTo>
                      </a:clrChange>
                      <a:extLst>
                        <a:ext uri="{28A0092B-C50C-407E-A947-70E740481C1C}"/>
                      </a:extLst>
                    </a:blip>
                    <a:srcRect/>
                    <a:stretch>
                      <a:fillRect/>
                    </a:stretch>
                  </pic:blipFill>
                  <pic:spPr bwMode="auto">
                    <a:xfrm>
                      <a:off x="0" y="0"/>
                      <a:ext cx="7289165" cy="13722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Arial" w:cs="Arial" w:eastAsia="Arial" w:hAnsi="Arial"/>
          <w:sz w:val="16"/>
          <w:szCs w:val="16"/>
          <w:color w:val="auto"/>
        </w:rPr>
        <w:t>The conference call will become available for review on Conference Replay one hour after its conclusion, and will remain available for 60 days. Please dial</w:t>
      </w:r>
    </w:p>
    <w:p>
      <w:pPr>
        <w:spacing w:after="0" w:line="46" w:lineRule="exact"/>
        <w:rPr>
          <w:sz w:val="20"/>
          <w:szCs w:val="20"/>
          <w:color w:val="auto"/>
        </w:rPr>
      </w:pPr>
    </w:p>
    <w:p>
      <w:pPr>
        <w:ind w:right="4320" w:firstLine="8"/>
        <w:spacing w:after="0" w:line="492" w:lineRule="auto"/>
        <w:tabs>
          <w:tab w:leader="none" w:pos="435" w:val="left"/>
        </w:tabs>
        <w:numPr>
          <w:ilvl w:val="0"/>
          <w:numId w:val="9"/>
        </w:numPr>
        <w:rPr>
          <w:rFonts w:ascii="Arial" w:cs="Arial" w:eastAsia="Arial" w:hAnsi="Arial"/>
          <w:sz w:val="18"/>
          <w:szCs w:val="18"/>
          <w:color w:val="auto"/>
        </w:rPr>
      </w:pPr>
      <w:r>
        <w:rPr>
          <w:rFonts w:ascii="Arial" w:cs="Arial" w:eastAsia="Arial" w:hAnsi="Arial"/>
          <w:sz w:val="18"/>
          <w:szCs w:val="18"/>
          <w:color w:val="auto"/>
        </w:rPr>
        <w:t xml:space="preserve">919-4059 or (334) 323-0140, and follow the instructions. The replay passcode is: 66717091. For more information, please access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or contact:</w:t>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Mrs. Ana Graciela de Méndez</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+507 210-8563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7" w:name="page8"/>
    <w:bookmarkEnd w:id="7"/>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157480</wp:posOffset>
            </wp:positionH>
            <wp:positionV relativeFrom="page">
              <wp:posOffset>3373755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586105</wp:posOffset>
            </wp:positionV>
            <wp:extent cx="7289165" cy="251269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89165" cy="2512695"/>
                    </a:xfrm>
                    <a:prstGeom prst="rect">
                      <a:avLst/>
                    </a:prstGeom>
                    <a:noFill/>
                  </pic:spPr>
                </pic:pic>
              </a:graphicData>
            </a:graphic>
          </wp:anchor>
        </w:drawing>
      </w:r>
    </w:p>
    <w:sectPr>
      <w:pgSz w:w="11900" w:h="16838"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46E87CCD"/>
    <w:multiLevelType w:val="hybridMultilevel"/>
    <w:lvl w:ilvl="0">
      <w:lvlJc w:val="left"/>
      <w:lvlText w:val="·"/>
      <w:numFmt w:val="bullet"/>
      <w:start w:val="1"/>
    </w:lvl>
  </w:abstractNum>
  <w:abstractNum w:abstractNumId="1">
    <w:nsid w:val="3D1B58BA"/>
    <w:multiLevelType w:val="hybridMultilevel"/>
    <w:lvl w:ilvl="0">
      <w:lvlJc w:val="left"/>
      <w:lvlText w:val="·"/>
      <w:numFmt w:val="bullet"/>
      <w:start w:val="1"/>
    </w:lvl>
  </w:abstractNum>
  <w:abstractNum w:abstractNumId="2">
    <w:nsid w:val="507ED7AB"/>
    <w:multiLevelType w:val="hybridMultilevel"/>
    <w:lvl w:ilvl="0">
      <w:lvlJc w:val="left"/>
      <w:lvlText w:val="·"/>
      <w:numFmt w:val="bullet"/>
      <w:start w:val="1"/>
    </w:lvl>
  </w:abstractNum>
  <w:abstractNum w:abstractNumId="3">
    <w:nsid w:val="2EB141F2"/>
    <w:multiLevelType w:val="hybridMultilevel"/>
    <w:lvl w:ilvl="0">
      <w:lvlJc w:val="left"/>
      <w:lvlText w:val="·"/>
      <w:numFmt w:val="bullet"/>
      <w:start w:val="1"/>
    </w:lvl>
  </w:abstractNum>
  <w:abstractNum w:abstractNumId="4">
    <w:nsid w:val="41B71EFB"/>
    <w:multiLevelType w:val="hybridMultilevel"/>
    <w:lvl w:ilvl="0">
      <w:lvlJc w:val="left"/>
      <w:lvlText w:val="§"/>
      <w:numFmt w:val="bullet"/>
      <w:start w:val="1"/>
    </w:lvl>
  </w:abstractNum>
  <w:abstractNum w:abstractNumId="5">
    <w:nsid w:val="79E2A9E3"/>
    <w:multiLevelType w:val="hybridMultilevel"/>
    <w:lvl w:ilvl="0">
      <w:lvlJc w:val="left"/>
      <w:lvlText w:val="-"/>
      <w:numFmt w:val="bullet"/>
      <w:start w:val="1"/>
    </w:lvl>
  </w:abstractNum>
  <w:abstractNum w:abstractNumId="6">
    <w:nsid w:val="7545E146"/>
    <w:multiLevelType w:val="hybridMultilevel"/>
    <w:lvl w:ilvl="0">
      <w:lvlJc w:val="left"/>
      <w:lvlText w:val="%1)"/>
      <w:numFmt w:val="decimal"/>
      <w:start w:val="1"/>
    </w:lvl>
  </w:abstractNum>
  <w:abstractNum w:abstractNumId="7">
    <w:nsid w:val="515F007C"/>
    <w:multiLevelType w:val="hybridMultilevel"/>
    <w:lvl w:ilvl="0">
      <w:lvlJc w:val="left"/>
      <w:lvlText w:val="%1)"/>
      <w:numFmt w:val="decimal"/>
      <w:start w:val="10"/>
    </w:lvl>
  </w:abstractNum>
  <w:abstractNum w:abstractNumId="8">
    <w:nsid w:val="5BD062C2"/>
    <w:multiLevelType w:val="hybridMultilevel"/>
    <w:lvl w:ilvl="0">
      <w:lvlJc w:val="left"/>
      <w:lvlText w:val="(%1)"/>
      <w:numFmt w:val="decimal"/>
      <w:start w:val="877"/>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jpe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2020-01-09T03:34:48Z</dcterms:created>
  <dcterms:modified xsi:type="dcterms:W3CDTF">2020-01-09T03:34:48Z</dcterms:modified>
</cp:coreProperties>
</file>